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1C8FC" w14:textId="28FD42DB" w:rsidR="00C82EFF" w:rsidRPr="000B1EEA" w:rsidRDefault="00D65C84" w:rsidP="00D65C84">
      <w:pPr>
        <w:jc w:val="center"/>
        <w:rPr>
          <w:szCs w:val="24"/>
        </w:rPr>
      </w:pPr>
      <w:bookmarkStart w:id="0" w:name="_GoBack"/>
      <w:bookmarkEnd w:id="0"/>
      <w:r w:rsidRPr="000B1EEA">
        <w:rPr>
          <w:rFonts w:hint="eastAsia"/>
          <w:szCs w:val="24"/>
        </w:rPr>
        <w:t>衍生性金融商品</w:t>
      </w:r>
    </w:p>
    <w:p w14:paraId="16FAA0E8" w14:textId="6D16ADAF" w:rsidR="001F5332" w:rsidRPr="000B1EEA" w:rsidRDefault="001F5332" w:rsidP="00D65C84">
      <w:pPr>
        <w:jc w:val="center"/>
        <w:rPr>
          <w:szCs w:val="24"/>
        </w:rPr>
      </w:pPr>
      <w:r w:rsidRPr="000B1EEA">
        <w:rPr>
          <w:rFonts w:hint="eastAsia"/>
          <w:szCs w:val="24"/>
        </w:rPr>
        <w:t>重點整理</w:t>
      </w:r>
    </w:p>
    <w:p w14:paraId="1A11F51C" w14:textId="77777777" w:rsidR="001F5332" w:rsidRPr="000B1EEA" w:rsidRDefault="001F5332" w:rsidP="00D65C84">
      <w:pPr>
        <w:jc w:val="center"/>
        <w:rPr>
          <w:szCs w:val="24"/>
        </w:rPr>
      </w:pPr>
    </w:p>
    <w:p w14:paraId="008F8E2D" w14:textId="76639773" w:rsidR="00D65C84" w:rsidRPr="000B1EEA" w:rsidRDefault="00D65C84" w:rsidP="002F2A9B">
      <w:pPr>
        <w:numPr>
          <w:ilvl w:val="0"/>
          <w:numId w:val="1"/>
        </w:numPr>
        <w:rPr>
          <w:szCs w:val="24"/>
        </w:rPr>
      </w:pPr>
      <w:r w:rsidRPr="000B1EEA">
        <w:rPr>
          <w:rFonts w:hint="eastAsia"/>
          <w:color w:val="FF0000"/>
          <w:szCs w:val="24"/>
        </w:rPr>
        <w:t>1.</w:t>
      </w:r>
      <w:r w:rsidRPr="000B1EEA">
        <w:rPr>
          <w:rFonts w:hint="eastAsia"/>
          <w:color w:val="FF0000"/>
          <w:szCs w:val="24"/>
        </w:rPr>
        <w:t>定義</w:t>
      </w:r>
      <w:r w:rsidRPr="000B1EEA">
        <w:rPr>
          <w:rFonts w:hint="eastAsia"/>
          <w:szCs w:val="24"/>
        </w:rPr>
        <w:t>:</w:t>
      </w:r>
      <w:r w:rsidRPr="000B1EEA">
        <w:rPr>
          <w:rFonts w:ascii="新細明體" w:eastAsia="新細明體" w:hAnsi="新細明體" w:cs="新細明體" w:hint="eastAsia"/>
          <w:kern w:val="0"/>
          <w:szCs w:val="24"/>
        </w:rPr>
        <w:t xml:space="preserve"> </w:t>
      </w:r>
      <w:r w:rsidR="001F5332" w:rsidRPr="000B1EEA">
        <w:rPr>
          <w:rFonts w:hint="eastAsia"/>
          <w:szCs w:val="24"/>
        </w:rPr>
        <w:t>在概念上並非［有價］的資產</w:t>
      </w:r>
      <w:r w:rsidR="001F5332" w:rsidRPr="000B1EEA">
        <w:rPr>
          <w:rFonts w:hint="eastAsia"/>
          <w:szCs w:val="24"/>
        </w:rPr>
        <w:t>,</w:t>
      </w:r>
      <w:r w:rsidR="001F5332" w:rsidRPr="000B1EEA">
        <w:rPr>
          <w:rFonts w:hint="eastAsia"/>
          <w:szCs w:val="24"/>
        </w:rPr>
        <w:t>而是一種附屬性</w:t>
      </w:r>
      <w:r w:rsidR="001F5332" w:rsidRPr="000B1EEA">
        <w:rPr>
          <w:rFonts w:hint="eastAsia"/>
          <w:szCs w:val="24"/>
        </w:rPr>
        <w:t>,</w:t>
      </w:r>
      <w:r w:rsidR="001F5332" w:rsidRPr="000B1EEA">
        <w:rPr>
          <w:rFonts w:hint="eastAsia"/>
          <w:szCs w:val="24"/>
        </w:rPr>
        <w:t>有限期的</w:t>
      </w:r>
      <w:r w:rsidR="001F5332" w:rsidRPr="000B1EEA">
        <w:rPr>
          <w:rFonts w:hint="eastAsia"/>
          <w:color w:val="70AD47" w:themeColor="accent6"/>
          <w:szCs w:val="24"/>
        </w:rPr>
        <w:t>契約</w:t>
      </w:r>
      <w:r w:rsidR="001F5332" w:rsidRPr="000B1EEA">
        <w:rPr>
          <w:rFonts w:hint="eastAsia"/>
          <w:color w:val="70AD47" w:themeColor="accent6"/>
          <w:szCs w:val="24"/>
        </w:rPr>
        <w:t>,</w:t>
      </w:r>
      <w:r w:rsidR="001F5332" w:rsidRPr="000B1EEA">
        <w:rPr>
          <w:rFonts w:hint="eastAsia"/>
          <w:szCs w:val="24"/>
        </w:rPr>
        <w:t>其價值會隨著其所依附之證券或資產價值而波動</w:t>
      </w:r>
      <w:r w:rsidR="001F5332" w:rsidRPr="000B1EEA">
        <w:rPr>
          <w:rFonts w:hint="eastAsia"/>
          <w:szCs w:val="24"/>
        </w:rPr>
        <w:t>,</w:t>
      </w:r>
      <w:r w:rsidR="001F5332" w:rsidRPr="000B1EEA">
        <w:rPr>
          <w:rFonts w:hint="eastAsia"/>
          <w:szCs w:val="24"/>
        </w:rPr>
        <w:t>因此被冠上［衍生性］的字眼。在市場上，常被依附的證券或資產包括股票、債券、貨幣等金融工具及許多實體商品</w:t>
      </w:r>
      <w:r w:rsidR="001F5332" w:rsidRPr="000B1EEA">
        <w:rPr>
          <w:rFonts w:hint="eastAsia"/>
          <w:szCs w:val="24"/>
        </w:rPr>
        <w:t>(</w:t>
      </w:r>
      <w:r w:rsidR="001F5332" w:rsidRPr="000B1EEA">
        <w:rPr>
          <w:rFonts w:hint="eastAsia"/>
          <w:szCs w:val="24"/>
        </w:rPr>
        <w:t>如黃金與玉米</w:t>
      </w:r>
      <w:r w:rsidR="001F5332" w:rsidRPr="000B1EEA">
        <w:rPr>
          <w:szCs w:val="24"/>
        </w:rPr>
        <w:t>)</w:t>
      </w:r>
      <w:r w:rsidR="001F5332" w:rsidRPr="000B1EEA">
        <w:rPr>
          <w:rFonts w:hint="eastAsia"/>
          <w:szCs w:val="24"/>
        </w:rPr>
        <w:t>，而被依附的證券或資產又被稱為是這些衍生性金融商品的標的物</w:t>
      </w:r>
    </w:p>
    <w:p w14:paraId="2B5D3C8E" w14:textId="65B6201E" w:rsidR="00D65C84" w:rsidRPr="000B1EEA" w:rsidRDefault="00D65C84" w:rsidP="00D65C84">
      <w:pPr>
        <w:ind w:left="360"/>
        <w:rPr>
          <w:szCs w:val="24"/>
        </w:rPr>
      </w:pPr>
      <w:r w:rsidRPr="000B1EEA">
        <w:rPr>
          <w:rFonts w:hint="eastAsia"/>
          <w:szCs w:val="24"/>
        </w:rPr>
        <w:t>(   )</w:t>
      </w:r>
      <w:r w:rsidRPr="000B1EEA">
        <w:rPr>
          <w:rFonts w:hint="eastAsia"/>
          <w:szCs w:val="24"/>
        </w:rPr>
        <w:t>牛刀小試</w:t>
      </w:r>
      <w:r w:rsidR="001F5332" w:rsidRPr="000B1EEA">
        <w:rPr>
          <w:rFonts w:hint="eastAsia"/>
          <w:szCs w:val="24"/>
        </w:rPr>
        <w:t>1</w:t>
      </w:r>
      <w:r w:rsidRPr="000B1EEA">
        <w:rPr>
          <w:rFonts w:hint="eastAsia"/>
          <w:szCs w:val="24"/>
        </w:rPr>
        <w:t>:</w:t>
      </w:r>
      <w:r w:rsidRPr="000B1EEA">
        <w:rPr>
          <w:rFonts w:ascii="微軟正黑體" w:eastAsia="微軟正黑體" w:hAnsi="微軟正黑體" w:hint="eastAsia"/>
          <w:color w:val="000000"/>
          <w:szCs w:val="24"/>
          <w:shd w:val="clear" w:color="auto" w:fill="FFFFFF"/>
        </w:rPr>
        <w:t xml:space="preserve"> 目前我國衍生性金融商品的交易存在於哪個市場？</w:t>
      </w:r>
    </w:p>
    <w:p w14:paraId="195FF872" w14:textId="4F381481" w:rsidR="00D65C84" w:rsidRPr="000B1EEA" w:rsidRDefault="00D65C84" w:rsidP="002F2A9B">
      <w:pPr>
        <w:numPr>
          <w:ilvl w:val="0"/>
          <w:numId w:val="1"/>
        </w:numPr>
        <w:rPr>
          <w:szCs w:val="24"/>
        </w:rPr>
      </w:pPr>
      <w:r w:rsidRPr="000B1EEA">
        <w:rPr>
          <w:rFonts w:ascii="微軟正黑體" w:eastAsia="微軟正黑體" w:hAnsi="微軟正黑體" w:hint="eastAsia"/>
          <w:color w:val="000000"/>
          <w:szCs w:val="24"/>
          <w:shd w:val="clear" w:color="auto" w:fill="FFFFFF"/>
        </w:rPr>
        <w:t>(A)集中市場與店頭市場皆有交易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(B)集中市場有交易，店頭市場沒有交易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(C)集中市場沒有交易，店頭市場有交易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(D)集中市場與店頭市場皆無交易</w:t>
      </w:r>
    </w:p>
    <w:p w14:paraId="3577818A" w14:textId="3AD67643" w:rsidR="001F5332" w:rsidRPr="000B1EEA" w:rsidRDefault="001F5332" w:rsidP="001F5332">
      <w:pPr>
        <w:ind w:left="360"/>
        <w:rPr>
          <w:rFonts w:ascii="Verdana" w:hAnsi="Verdana"/>
          <w:spacing w:val="20"/>
          <w:szCs w:val="24"/>
          <w:shd w:val="clear" w:color="auto" w:fill="FFFFFF"/>
        </w:rPr>
      </w:pPr>
      <w:r w:rsidRPr="000B1EEA">
        <w:rPr>
          <w:rFonts w:ascii="微軟正黑體" w:eastAsia="微軟正黑體" w:hAnsi="微軟正黑體"/>
          <w:szCs w:val="24"/>
          <w:shd w:val="clear" w:color="auto" w:fill="FFFFFF"/>
        </w:rPr>
        <w:t>*</w:t>
      </w:r>
      <w:r w:rsidRPr="000B1EEA">
        <w:rPr>
          <w:rFonts w:ascii="微軟正黑體" w:eastAsia="微軟正黑體" w:hAnsi="微軟正黑體" w:hint="eastAsia"/>
          <w:szCs w:val="24"/>
          <w:shd w:val="clear" w:color="auto" w:fill="FFFFFF"/>
        </w:rPr>
        <w:t>集中市場:</w:t>
      </w:r>
      <w:r w:rsidRPr="000B1EEA">
        <w:rPr>
          <w:rFonts w:ascii="Verdana" w:hAnsi="Verdana"/>
          <w:b/>
          <w:bCs/>
          <w:spacing w:val="20"/>
          <w:szCs w:val="24"/>
          <w:shd w:val="clear" w:color="auto" w:fill="FFFFFF"/>
        </w:rPr>
        <w:t xml:space="preserve"> </w:t>
      </w:r>
      <w:hyperlink r:id="rId7" w:tgtFrame="_blank" w:history="1">
        <w:r w:rsidRPr="000B1EEA">
          <w:rPr>
            <w:rStyle w:val="a4"/>
            <w:rFonts w:ascii="Verdana" w:hAnsi="Verdana"/>
            <w:color w:val="auto"/>
            <w:spacing w:val="20"/>
            <w:szCs w:val="24"/>
            <w:u w:val="none"/>
            <w:shd w:val="clear" w:color="auto" w:fill="FFFFFF"/>
          </w:rPr>
          <w:t>集中市場</w:t>
        </w:r>
      </w:hyperlink>
      <w:r w:rsidRPr="000B1EEA">
        <w:rPr>
          <w:rStyle w:val="aa"/>
          <w:rFonts w:ascii="Verdana" w:hAnsi="Verdana"/>
          <w:b w:val="0"/>
          <w:bCs w:val="0"/>
          <w:spacing w:val="20"/>
          <w:szCs w:val="24"/>
          <w:shd w:val="clear" w:color="auto" w:fill="FFFFFF"/>
        </w:rPr>
        <w:t>又稱為次級巿場</w:t>
      </w:r>
      <w:r w:rsidRPr="000B1EEA">
        <w:rPr>
          <w:rStyle w:val="aa"/>
          <w:rFonts w:ascii="Verdana" w:hAnsi="Verdana"/>
          <w:b w:val="0"/>
          <w:bCs w:val="0"/>
          <w:spacing w:val="20"/>
          <w:szCs w:val="24"/>
          <w:shd w:val="clear" w:color="auto" w:fill="FFFFFF"/>
        </w:rPr>
        <w:t xml:space="preserve">(Secondary Market) </w:t>
      </w:r>
      <w:r w:rsidRPr="000B1EEA">
        <w:rPr>
          <w:rStyle w:val="aa"/>
          <w:rFonts w:ascii="Verdana" w:hAnsi="Verdana"/>
          <w:b w:val="0"/>
          <w:bCs w:val="0"/>
          <w:spacing w:val="20"/>
          <w:szCs w:val="24"/>
          <w:shd w:val="clear" w:color="auto" w:fill="FFFFFF"/>
        </w:rPr>
        <w:t>或交易巿場或流通巿場，</w:t>
      </w:r>
      <w:r w:rsidRPr="000B1EEA">
        <w:rPr>
          <w:rFonts w:ascii="Verdana" w:hAnsi="Verdana"/>
          <w:spacing w:val="20"/>
          <w:szCs w:val="24"/>
          <w:shd w:val="clear" w:color="auto" w:fill="FFFFFF"/>
        </w:rPr>
        <w:t>是指上市股票在證券交易所，以集中公開競價方式交易的市場，</w:t>
      </w:r>
      <w:hyperlink r:id="rId8" w:tgtFrame="_blank" w:history="1">
        <w:r w:rsidRPr="000B1EEA">
          <w:rPr>
            <w:rStyle w:val="a4"/>
            <w:rFonts w:ascii="Verdana" w:hAnsi="Verdana"/>
            <w:color w:val="auto"/>
            <w:spacing w:val="20"/>
            <w:szCs w:val="24"/>
            <w:u w:val="none"/>
            <w:shd w:val="clear" w:color="auto" w:fill="FFFFFF"/>
          </w:rPr>
          <w:t>交易商</w:t>
        </w:r>
      </w:hyperlink>
      <w:r w:rsidRPr="000B1EEA">
        <w:rPr>
          <w:rFonts w:ascii="Verdana" w:hAnsi="Verdana"/>
          <w:spacing w:val="20"/>
          <w:szCs w:val="24"/>
          <w:shd w:val="clear" w:color="auto" w:fill="FFFFFF"/>
        </w:rPr>
        <w:t>品均為</w:t>
      </w:r>
      <w:r w:rsidRPr="000B1EEA">
        <w:rPr>
          <w:rFonts w:ascii="Verdana" w:hAnsi="Verdana" w:hint="eastAsia"/>
          <w:spacing w:val="20"/>
          <w:szCs w:val="24"/>
          <w:shd w:val="clear" w:color="auto" w:fill="FFFFFF"/>
        </w:rPr>
        <w:t>標準化</w:t>
      </w:r>
      <w:r w:rsidRPr="000B1EEA">
        <w:rPr>
          <w:rFonts w:ascii="Verdana" w:hAnsi="Verdana"/>
          <w:spacing w:val="20"/>
          <w:szCs w:val="24"/>
          <w:shd w:val="clear" w:color="auto" w:fill="FFFFFF"/>
        </w:rPr>
        <w:t>。競價的方式則有電腦自動撮合與</w:t>
      </w:r>
      <w:hyperlink r:id="rId9" w:tgtFrame="_blank" w:history="1">
        <w:r w:rsidRPr="000B1EEA">
          <w:rPr>
            <w:rStyle w:val="a4"/>
            <w:rFonts w:ascii="Verdana" w:hAnsi="Verdana"/>
            <w:color w:val="auto"/>
            <w:spacing w:val="20"/>
            <w:szCs w:val="24"/>
            <w:u w:val="none"/>
            <w:shd w:val="clear" w:color="auto" w:fill="FFFFFF"/>
          </w:rPr>
          <w:t>人工撮合</w:t>
        </w:r>
      </w:hyperlink>
      <w:r w:rsidRPr="000B1EEA">
        <w:rPr>
          <w:rFonts w:ascii="Verdana" w:hAnsi="Verdana"/>
          <w:spacing w:val="20"/>
          <w:szCs w:val="24"/>
          <w:shd w:val="clear" w:color="auto" w:fill="FFFFFF"/>
        </w:rPr>
        <w:t>兩種，例如我國的證券交易所就是利用電腦自動交易，而美國的紐約證交所（</w:t>
      </w:r>
      <w:r w:rsidRPr="000B1EEA">
        <w:rPr>
          <w:rFonts w:ascii="Verdana" w:hAnsi="Verdana"/>
          <w:spacing w:val="20"/>
          <w:szCs w:val="24"/>
          <w:shd w:val="clear" w:color="auto" w:fill="FFFFFF"/>
        </w:rPr>
        <w:t>NYSE</w:t>
      </w:r>
      <w:r w:rsidRPr="000B1EEA">
        <w:rPr>
          <w:rFonts w:ascii="Verdana" w:hAnsi="Verdana"/>
          <w:spacing w:val="20"/>
          <w:szCs w:val="24"/>
          <w:shd w:val="clear" w:color="auto" w:fill="FFFFFF"/>
        </w:rPr>
        <w:t>）則是由</w:t>
      </w:r>
      <w:hyperlink r:id="rId10" w:tgtFrame="_blank" w:history="1">
        <w:r w:rsidRPr="000B1EEA">
          <w:rPr>
            <w:rStyle w:val="a4"/>
            <w:rFonts w:ascii="Verdana" w:hAnsi="Verdana"/>
            <w:color w:val="auto"/>
            <w:spacing w:val="20"/>
            <w:szCs w:val="24"/>
            <w:u w:val="none"/>
            <w:shd w:val="clear" w:color="auto" w:fill="FFFFFF"/>
          </w:rPr>
          <w:t>經紀人</w:t>
        </w:r>
      </w:hyperlink>
      <w:r w:rsidRPr="000B1EEA">
        <w:rPr>
          <w:rFonts w:ascii="Verdana" w:hAnsi="Verdana"/>
          <w:spacing w:val="20"/>
          <w:szCs w:val="24"/>
          <w:shd w:val="clear" w:color="auto" w:fill="FFFFFF"/>
        </w:rPr>
        <w:t>在場內走動叫喊來尋找最佳買賣主。</w:t>
      </w:r>
    </w:p>
    <w:p w14:paraId="14BFFA6A" w14:textId="77777777" w:rsidR="001F5332" w:rsidRPr="000B1EEA" w:rsidRDefault="001F5332" w:rsidP="001F5332">
      <w:pPr>
        <w:ind w:left="360"/>
        <w:rPr>
          <w:rFonts w:ascii="Verdana" w:hAnsi="Verdana"/>
          <w:spacing w:val="20"/>
          <w:szCs w:val="24"/>
          <w:shd w:val="clear" w:color="auto" w:fill="FFFFFF"/>
        </w:rPr>
      </w:pPr>
    </w:p>
    <w:p w14:paraId="39F12EC2" w14:textId="6EF430B3" w:rsidR="001F5332" w:rsidRPr="000B1EEA" w:rsidRDefault="001F5332" w:rsidP="001F5332">
      <w:pPr>
        <w:pStyle w:val="Web"/>
        <w:shd w:val="clear" w:color="auto" w:fill="FFFFFF"/>
        <w:spacing w:before="0" w:beforeAutospacing="0" w:after="0" w:afterAutospacing="0"/>
        <w:rPr>
          <w:rFonts w:ascii="Verdana" w:hAnsi="Verdana"/>
          <w:color w:val="363636"/>
          <w:spacing w:val="20"/>
        </w:rPr>
      </w:pPr>
      <w:r w:rsidRPr="000B1EEA">
        <w:rPr>
          <w:rFonts w:ascii="Verdana" w:hAnsi="Verdana" w:hint="eastAsia"/>
          <w:spacing w:val="20"/>
          <w:shd w:val="clear" w:color="auto" w:fill="FFFFFF"/>
        </w:rPr>
        <w:t xml:space="preserve">  *</w:t>
      </w:r>
      <w:r w:rsidRPr="000B1EEA">
        <w:rPr>
          <w:rFonts w:ascii="Verdana" w:hAnsi="Verdana" w:hint="eastAsia"/>
          <w:spacing w:val="20"/>
          <w:shd w:val="clear" w:color="auto" w:fill="FFFFFF"/>
        </w:rPr>
        <w:t>店頭市場</w:t>
      </w:r>
      <w:r w:rsidRPr="000B1EEA">
        <w:rPr>
          <w:rFonts w:ascii="Verdana" w:hAnsi="Verdana" w:hint="eastAsia"/>
          <w:spacing w:val="20"/>
          <w:shd w:val="clear" w:color="auto" w:fill="FFFFFF"/>
        </w:rPr>
        <w:t>:</w:t>
      </w:r>
      <w:r w:rsidRPr="000B1EEA">
        <w:rPr>
          <w:rFonts w:ascii="Verdana" w:hAnsi="Verdana"/>
          <w:color w:val="363636"/>
          <w:spacing w:val="20"/>
        </w:rPr>
        <w:t xml:space="preserve"> </w:t>
      </w:r>
      <w:r w:rsidRPr="000B1EEA">
        <w:rPr>
          <w:rFonts w:ascii="Verdana" w:hAnsi="Verdana"/>
          <w:color w:val="363636"/>
          <w:spacing w:val="20"/>
        </w:rPr>
        <w:t>有價</w:t>
      </w:r>
      <w:hyperlink r:id="rId11" w:tgtFrame="_blank" w:history="1">
        <w:r w:rsidRPr="000B1EEA">
          <w:rPr>
            <w:rStyle w:val="a4"/>
            <w:rFonts w:ascii="Verdana" w:hAnsi="Verdana"/>
            <w:color w:val="ED145B"/>
            <w:spacing w:val="20"/>
            <w:u w:val="none"/>
          </w:rPr>
          <w:t>證券</w:t>
        </w:r>
      </w:hyperlink>
      <w:r w:rsidRPr="000B1EEA">
        <w:rPr>
          <w:rFonts w:ascii="Verdana" w:hAnsi="Verdana"/>
          <w:color w:val="363636"/>
          <w:spacing w:val="20"/>
        </w:rPr>
        <w:t>不在集中交易市場上市以競價方式買賣，而在證券商的營業櫃檯以議價方式進行的交易行為，稱為櫃檯買賣。由櫃檯買賣所形成的市場稱為櫃檯買賣市場，又稱店頭交易，英文為</w:t>
      </w:r>
      <w:r w:rsidRPr="000B1EEA">
        <w:rPr>
          <w:rFonts w:ascii="Verdana" w:hAnsi="Verdana"/>
          <w:color w:val="363636"/>
          <w:spacing w:val="20"/>
        </w:rPr>
        <w:t>Over-the-Counter</w:t>
      </w:r>
      <w:r w:rsidRPr="000B1EEA">
        <w:rPr>
          <w:rFonts w:ascii="Verdana" w:hAnsi="Verdana"/>
          <w:color w:val="363636"/>
          <w:spacing w:val="20"/>
        </w:rPr>
        <w:t>，簡稱</w:t>
      </w:r>
      <w:r w:rsidRPr="000B1EEA">
        <w:rPr>
          <w:rFonts w:ascii="Verdana" w:hAnsi="Verdana"/>
          <w:color w:val="363636"/>
          <w:spacing w:val="20"/>
        </w:rPr>
        <w:t>OTC</w:t>
      </w:r>
      <w:r w:rsidRPr="000B1EEA">
        <w:rPr>
          <w:rFonts w:ascii="Verdana" w:hAnsi="Verdana"/>
          <w:color w:val="363636"/>
          <w:spacing w:val="20"/>
        </w:rPr>
        <w:t>。</w:t>
      </w:r>
    </w:p>
    <w:p w14:paraId="749B8AEF" w14:textId="77777777" w:rsidR="001F5332" w:rsidRPr="000B1EEA" w:rsidRDefault="001F5332" w:rsidP="001F5332">
      <w:pPr>
        <w:pStyle w:val="Web"/>
        <w:shd w:val="clear" w:color="auto" w:fill="FFFFFF"/>
        <w:spacing w:before="0" w:beforeAutospacing="0" w:after="0" w:afterAutospacing="0"/>
        <w:rPr>
          <w:rFonts w:ascii="Verdana" w:hAnsi="Verdana"/>
          <w:color w:val="363636"/>
          <w:spacing w:val="20"/>
        </w:rPr>
      </w:pPr>
      <w:r w:rsidRPr="000B1EEA">
        <w:rPr>
          <w:rFonts w:ascii="Verdana" w:hAnsi="Verdana"/>
          <w:color w:val="363636"/>
          <w:spacing w:val="20"/>
        </w:rPr>
        <w:t>在買賣上，以</w:t>
      </w:r>
      <w:r w:rsidRPr="000B1EEA">
        <w:rPr>
          <w:rFonts w:ascii="Verdana" w:hAnsi="Verdana"/>
          <w:color w:val="363636"/>
          <w:spacing w:val="20"/>
        </w:rPr>
        <w:t>1,000</w:t>
      </w:r>
      <w:r w:rsidRPr="000B1EEA">
        <w:rPr>
          <w:rFonts w:ascii="Verdana" w:hAnsi="Verdana"/>
          <w:color w:val="363636"/>
          <w:spacing w:val="20"/>
        </w:rPr>
        <w:t>股為成交單位，股價的漲跌幅限制為當天參考價格上下</w:t>
      </w:r>
      <w:r w:rsidRPr="000B1EEA">
        <w:rPr>
          <w:rFonts w:ascii="Verdana" w:hAnsi="Verdana"/>
          <w:color w:val="363636"/>
          <w:spacing w:val="20"/>
        </w:rPr>
        <w:t>7</w:t>
      </w:r>
      <w:r w:rsidRPr="000B1EEA">
        <w:rPr>
          <w:rFonts w:ascii="Verdana" w:hAnsi="Verdana"/>
          <w:color w:val="363636"/>
          <w:spacing w:val="20"/>
        </w:rPr>
        <w:t>％。</w:t>
      </w:r>
    </w:p>
    <w:p w14:paraId="0E2DF773" w14:textId="77777777" w:rsidR="001F5332" w:rsidRPr="000B1EEA" w:rsidRDefault="001F5332" w:rsidP="001F5332">
      <w:pPr>
        <w:pStyle w:val="Web"/>
        <w:shd w:val="clear" w:color="auto" w:fill="FFFFFF"/>
        <w:spacing w:before="0" w:beforeAutospacing="0" w:after="0" w:afterAutospacing="0"/>
        <w:rPr>
          <w:rFonts w:ascii="Verdana" w:hAnsi="Verdana"/>
          <w:color w:val="363636"/>
          <w:spacing w:val="20"/>
        </w:rPr>
      </w:pPr>
      <w:r w:rsidRPr="000B1EEA">
        <w:rPr>
          <w:rFonts w:ascii="Verdana" w:hAnsi="Verdana"/>
          <w:color w:val="363636"/>
          <w:spacing w:val="20"/>
        </w:rPr>
        <w:t>公開發行公司申請將其所發行的證券（包括股票與公司債）在證券商營業處所買賣者稱為上櫃申請，經核准可以在證券商營業處所為櫃檯買賣的股票稱為上櫃股票，也就是說，可以在櫃檯買賣市場發行與流通的股票叫做上櫃股票。</w:t>
      </w:r>
    </w:p>
    <w:p w14:paraId="5083C613" w14:textId="405903D0" w:rsidR="001F5332" w:rsidRPr="000B1EEA" w:rsidRDefault="0069298D" w:rsidP="0069298D">
      <w:pPr>
        <w:ind w:left="360"/>
        <w:jc w:val="center"/>
        <w:rPr>
          <w:szCs w:val="24"/>
        </w:rPr>
      </w:pPr>
      <w:r w:rsidRPr="000B1EEA">
        <w:rPr>
          <w:rFonts w:hint="eastAsia"/>
          <w:szCs w:val="24"/>
        </w:rPr>
        <w:t>衍生性金融商品的功能與影響</w:t>
      </w:r>
    </w:p>
    <w:p w14:paraId="31F412BD" w14:textId="4681122E" w:rsidR="0069298D" w:rsidRPr="000B1EEA" w:rsidRDefault="0069298D" w:rsidP="002F2A9B">
      <w:pPr>
        <w:pStyle w:val="a3"/>
        <w:numPr>
          <w:ilvl w:val="0"/>
          <w:numId w:val="16"/>
        </w:numPr>
        <w:ind w:leftChars="0"/>
      </w:pPr>
      <w:r w:rsidRPr="000B1EEA">
        <w:rPr>
          <w:rFonts w:hint="eastAsia"/>
        </w:rPr>
        <w:t>價格發現的功能</w:t>
      </w:r>
    </w:p>
    <w:p w14:paraId="60E4D9B6" w14:textId="2F255CE0" w:rsidR="0069298D" w:rsidRPr="000B1EEA" w:rsidRDefault="0069298D" w:rsidP="0069298D">
      <w:pPr>
        <w:pStyle w:val="a3"/>
        <w:ind w:leftChars="0" w:left="720"/>
      </w:pPr>
      <w:r w:rsidRPr="000B1EEA">
        <w:rPr>
          <w:rFonts w:hint="eastAsia"/>
        </w:rPr>
        <w:lastRenderedPageBreak/>
        <w:t xml:space="preserve"> 衍生性金融商品的價值會隨著其所依附之證券或資產價值而波動；換言之，衍生性金融商品的價格與其標的物的價格具有密不可分的關係。以期貨為例，其價格是由市場根據其標的現貨未來價格的走勢所形成的預期，因此期貨價格也可作為未來現貨價格的參考指標。而為了要讓期貨的價格發現功能獲得發揮，期貨市場的開盤時間通常會早於現貨價格的參考指標。如台灣期貨市場的開盤時間即早於現貨市場15分鐘，投資人即可依據期貨市場的開盤狀況，研判當日現貨行情的走勢，以決定未來的操作策略</w:t>
      </w:r>
      <w:r w:rsidR="00395D54" w:rsidRPr="000B1EEA">
        <w:rPr>
          <w:rFonts w:hint="eastAsia"/>
        </w:rPr>
        <w:t>。此外，當有一重大訊息時，衍生性金融商品的交易成本通常較小且為單一商品，其價格也較能迅速反應此一訊息。以股價指數期貨為例，其現貨指數通常由數百支股票所形成，若要由這些股票完全反映完此一新的消息，可能必須花費一段時間；相對的，股價指數期貨是一項單一的商品，投資人要將此訊息反映在期貨價格上似乎</w:t>
      </w:r>
    </w:p>
    <w:p w14:paraId="4768BD70" w14:textId="4F42CBFF" w:rsidR="00395D54" w:rsidRPr="000B1EEA" w:rsidRDefault="00395D54" w:rsidP="0069298D">
      <w:pPr>
        <w:pStyle w:val="a3"/>
        <w:ind w:leftChars="0" w:left="720"/>
      </w:pPr>
      <w:r w:rsidRPr="000B1EEA">
        <w:rPr>
          <w:rFonts w:hint="eastAsia"/>
        </w:rPr>
        <w:t>較為容易。因此，衍生性金融商品大多具有價格發現的功能</w:t>
      </w:r>
    </w:p>
    <w:p w14:paraId="5098C8F5" w14:textId="2BA88C23" w:rsidR="00395D54" w:rsidRPr="000B1EEA" w:rsidRDefault="00395D54" w:rsidP="002F2A9B">
      <w:pPr>
        <w:pStyle w:val="a3"/>
        <w:numPr>
          <w:ilvl w:val="0"/>
          <w:numId w:val="16"/>
        </w:numPr>
        <w:ind w:leftChars="0"/>
      </w:pPr>
      <w:r w:rsidRPr="000B1EEA">
        <w:rPr>
          <w:rFonts w:hint="eastAsia"/>
        </w:rPr>
        <w:t>提供風險管理的工具</w:t>
      </w:r>
    </w:p>
    <w:p w14:paraId="75752F67" w14:textId="55F82027" w:rsidR="00347D11" w:rsidRPr="000B1EEA" w:rsidRDefault="00D87667" w:rsidP="00D87667">
      <w:pPr>
        <w:rPr>
          <w:szCs w:val="24"/>
        </w:rPr>
      </w:pPr>
      <w:r w:rsidRPr="000B1EEA">
        <w:rPr>
          <w:rFonts w:hint="eastAsia"/>
          <w:szCs w:val="24"/>
        </w:rPr>
        <w:t>在當前瞬息萬變的市場上，不管是投資人或一般的企業隨時會面臨各式各樣的風險，如原物料價格的風險、產品價格的風險、股市的風險、匯率的風險、利率的風險，而這些風險的存在，對投資人或企業而言，則會影響其投資或營運的績效。為了讓投資人或企業能控管風險，使其投資或營運績效不受影響，市場便推出各式各樣的衍生性金融商品，作為風險管理的工具。因此衍生性金融商品最主要功能，即在於［避險］的功能。</w:t>
      </w:r>
      <w:r w:rsidR="009C53EB" w:rsidRPr="000B1EEA">
        <w:rPr>
          <w:rFonts w:hint="eastAsia"/>
          <w:szCs w:val="24"/>
        </w:rPr>
        <w:t>衍生性金融商品之所以具備避險的功能，在於其價格與標的物價格之間具有非常密切的關係，而避險者即利用這種關係，針對欲規避的標的物，進行衍生性金融商品的反向操作，希望衍生性金融商品的獲利能彌補現貨部位的損失。例如</w:t>
      </w:r>
      <w:r w:rsidR="009C53EB" w:rsidRPr="000B1EEA">
        <w:rPr>
          <w:rFonts w:hint="eastAsia"/>
          <w:szCs w:val="24"/>
        </w:rPr>
        <w:t>:</w:t>
      </w:r>
      <w:r w:rsidR="009C53EB" w:rsidRPr="000B1EEA">
        <w:rPr>
          <w:rFonts w:hint="eastAsia"/>
          <w:szCs w:val="24"/>
        </w:rPr>
        <w:t>台灣出口廠商欲規避未來新台幣升值或美元貶值的風險，即能以賣出遠期外匯</w:t>
      </w:r>
      <w:r w:rsidR="009C53EB" w:rsidRPr="000B1EEA">
        <w:rPr>
          <w:rFonts w:hint="eastAsia"/>
          <w:szCs w:val="24"/>
        </w:rPr>
        <w:t>(</w:t>
      </w:r>
      <w:r w:rsidR="009C53EB" w:rsidRPr="000B1EEA">
        <w:rPr>
          <w:rFonts w:hint="eastAsia"/>
          <w:szCs w:val="24"/>
        </w:rPr>
        <w:t>預售美元</w:t>
      </w:r>
      <w:r w:rsidR="009C53EB" w:rsidRPr="000B1EEA">
        <w:rPr>
          <w:rFonts w:hint="eastAsia"/>
          <w:szCs w:val="24"/>
        </w:rPr>
        <w:t>)</w:t>
      </w:r>
      <w:r w:rsidR="009C53EB" w:rsidRPr="000B1EEA">
        <w:rPr>
          <w:rFonts w:hint="eastAsia"/>
          <w:szCs w:val="24"/>
        </w:rPr>
        <w:t>的方式來進行匯率風險的管理；股票型基金為了規避股市下跌的風險，也可在期貨市場賣出股價指數期貨進行避險。</w:t>
      </w:r>
    </w:p>
    <w:p w14:paraId="2AF660B2" w14:textId="7C30290C" w:rsidR="000D7D8E" w:rsidRPr="000B1EEA" w:rsidRDefault="000D7D8E" w:rsidP="002F2A9B">
      <w:pPr>
        <w:pStyle w:val="a3"/>
        <w:numPr>
          <w:ilvl w:val="0"/>
          <w:numId w:val="16"/>
        </w:numPr>
        <w:ind w:leftChars="0"/>
      </w:pPr>
      <w:r w:rsidRPr="000B1EEA">
        <w:rPr>
          <w:rFonts w:hint="eastAsia"/>
        </w:rPr>
        <w:t>提供多樣化的投資工具</w:t>
      </w:r>
    </w:p>
    <w:p w14:paraId="4B0AE641" w14:textId="6556AE3D" w:rsidR="000D7D8E" w:rsidRPr="000B1EEA" w:rsidRDefault="000D7D8E" w:rsidP="000D7D8E">
      <w:pPr>
        <w:rPr>
          <w:szCs w:val="24"/>
        </w:rPr>
      </w:pPr>
      <w:r w:rsidRPr="000B1EEA">
        <w:rPr>
          <w:rFonts w:hint="eastAsia"/>
          <w:szCs w:val="24"/>
        </w:rPr>
        <w:t>衍生性金融商品由於僅需投入少量資金即可從事相當於現貨部位的操作，運用槓桿的程度相當高，投資風險較傳統金融商品大，投機意味濃厚。然而，若能使用得當，衍生性金融商品也可為投機者提供豐富的報酬。由於投機者本身並沒有現貨部位，其利用衍生性金融商品進行投機操作時，必須對於本身所暴露的風險程度非常瞭解。</w:t>
      </w:r>
    </w:p>
    <w:p w14:paraId="496741B6" w14:textId="1587AD7E" w:rsidR="000D7D8E" w:rsidRPr="000B1EEA" w:rsidRDefault="000D7D8E" w:rsidP="002F2A9B">
      <w:pPr>
        <w:pStyle w:val="a3"/>
        <w:numPr>
          <w:ilvl w:val="0"/>
          <w:numId w:val="16"/>
        </w:numPr>
        <w:ind w:leftChars="0"/>
      </w:pPr>
      <w:r w:rsidRPr="000B1EEA">
        <w:rPr>
          <w:rFonts w:hint="eastAsia"/>
        </w:rPr>
        <w:t>促進市場的流動性與效率性</w:t>
      </w:r>
    </w:p>
    <w:p w14:paraId="70BCC969" w14:textId="4B956452" w:rsidR="000D7D8E" w:rsidRPr="000B1EEA" w:rsidRDefault="000D7D8E" w:rsidP="000D7D8E">
      <w:pPr>
        <w:rPr>
          <w:szCs w:val="24"/>
        </w:rPr>
      </w:pPr>
      <w:r w:rsidRPr="000B1EEA">
        <w:rPr>
          <w:rFonts w:hint="eastAsia"/>
          <w:szCs w:val="24"/>
        </w:rPr>
        <w:t>衍生性金融商品的避險功能，可讓投資人在操作現貨市場時較無後顧之憂，因可利用衍生性金融商品將風險控制在可忍受的範圍，以賺取合理的報酬。例如過去台灣沒有期貨與選擇權市場，外資便不敢大舉進入股市，因為沒有合適的避險工具，間接影響了台灣股市的資金動能及流動性。因此，衍生性金融商品市場的發展，也可活絡現貨市場的交易，提高其流動性。</w:t>
      </w:r>
    </w:p>
    <w:p w14:paraId="3D368604" w14:textId="11371B38" w:rsidR="000D7D8E" w:rsidRPr="000B1EEA" w:rsidRDefault="000D7D8E" w:rsidP="000D7D8E">
      <w:pPr>
        <w:rPr>
          <w:szCs w:val="24"/>
        </w:rPr>
      </w:pPr>
      <w:r w:rsidRPr="000B1EEA">
        <w:rPr>
          <w:rFonts w:hint="eastAsia"/>
          <w:szCs w:val="24"/>
        </w:rPr>
        <w:lastRenderedPageBreak/>
        <w:t>此外，衍生性金融商品的價格與現貨存在一定關係，當兩者的價格關係發生偏離時，市場便有套利的空間。此時套利者便會在市場上從事套利的活動，</w:t>
      </w:r>
      <w:r w:rsidR="0012538C" w:rsidRPr="000B1EEA">
        <w:rPr>
          <w:rFonts w:hint="eastAsia"/>
          <w:szCs w:val="24"/>
        </w:rPr>
        <w:t>而套利的活動則會使兩者的關係的價格關係趨於合理，直到沒有套利空間。因此，衍生性金融商品的存在也可促進市場的流動性。</w:t>
      </w:r>
    </w:p>
    <w:p w14:paraId="0E1B5066" w14:textId="77777777" w:rsidR="00F90B74" w:rsidRPr="000B1EEA" w:rsidRDefault="00D65C84" w:rsidP="002F2A9B">
      <w:pPr>
        <w:numPr>
          <w:ilvl w:val="0"/>
          <w:numId w:val="1"/>
        </w:numPr>
        <w:jc w:val="center"/>
        <w:rPr>
          <w:rFonts w:ascii="微軟正黑體" w:eastAsia="微軟正黑體" w:hAnsi="微軟正黑體"/>
          <w:b/>
          <w:bCs/>
          <w:color w:val="000000"/>
          <w:szCs w:val="24"/>
          <w:shd w:val="clear" w:color="auto" w:fill="FFFFFF"/>
        </w:rPr>
      </w:pPr>
      <w:r w:rsidRPr="000B1EEA">
        <w:rPr>
          <w:rFonts w:ascii="微軟正黑體" w:eastAsia="微軟正黑體" w:hAnsi="微軟正黑體" w:hint="eastAsia"/>
          <w:color w:val="FF0000"/>
          <w:szCs w:val="24"/>
          <w:shd w:val="clear" w:color="auto" w:fill="FFFFFF"/>
        </w:rPr>
        <w:t>2.商品類型</w:t>
      </w:r>
    </w:p>
    <w:p w14:paraId="432A36C6" w14:textId="230190C3" w:rsidR="000C113F" w:rsidRPr="000B1EEA" w:rsidRDefault="00D65C84" w:rsidP="002F2A9B">
      <w:pPr>
        <w:numPr>
          <w:ilvl w:val="0"/>
          <w:numId w:val="1"/>
        </w:numPr>
        <w:rPr>
          <w:rFonts w:ascii="微軟正黑體" w:eastAsia="微軟正黑體" w:hAnsi="微軟正黑體"/>
          <w:b/>
          <w:bCs/>
          <w:color w:val="000000"/>
          <w:szCs w:val="24"/>
          <w:shd w:val="clear" w:color="auto" w:fill="FFFFFF"/>
        </w:rPr>
      </w:pPr>
      <w:r w:rsidRPr="000B1EEA">
        <w:rPr>
          <w:rFonts w:ascii="微軟正黑體" w:eastAsia="微軟正黑體" w:hAnsi="微軟正黑體" w:hint="eastAsia"/>
          <w:color w:val="000000"/>
          <w:szCs w:val="24"/>
          <w:shd w:val="clear" w:color="auto" w:fill="FFFFFF"/>
        </w:rPr>
        <w:t xml:space="preserve"> 1.</w:t>
      </w:r>
      <w:r w:rsidRPr="000B1EEA">
        <w:rPr>
          <w:rFonts w:ascii="微軟正黑體" w:eastAsia="微軟正黑體" w:hAnsi="微軟正黑體" w:hint="eastAsia"/>
          <w:b/>
          <w:bCs/>
          <w:color w:val="000000"/>
          <w:szCs w:val="24"/>
          <w:shd w:val="clear" w:color="auto" w:fill="FFFFFF"/>
        </w:rPr>
        <w:t>遠期契約(Forwards) 2.</w:t>
      </w:r>
      <w:r w:rsidRPr="000B1EEA">
        <w:rPr>
          <w:rFonts w:hint="eastAsia"/>
          <w:szCs w:val="24"/>
        </w:rPr>
        <w:t xml:space="preserve"> </w:t>
      </w:r>
      <w:r w:rsidRPr="000B1EEA">
        <w:rPr>
          <w:rFonts w:ascii="微軟正黑體" w:eastAsia="微軟正黑體" w:hAnsi="微軟正黑體" w:hint="eastAsia"/>
          <w:b/>
          <w:bCs/>
          <w:color w:val="000000"/>
          <w:szCs w:val="24"/>
          <w:shd w:val="clear" w:color="auto" w:fill="FFFFFF"/>
        </w:rPr>
        <w:t xml:space="preserve">期貨契約(Futures) </w:t>
      </w:r>
      <w:r w:rsidR="000C113F" w:rsidRPr="000B1EEA">
        <w:rPr>
          <w:rFonts w:ascii="微軟正黑體" w:eastAsia="微軟正黑體" w:hAnsi="微軟正黑體" w:hint="eastAsia"/>
          <w:b/>
          <w:bCs/>
          <w:color w:val="000000"/>
          <w:szCs w:val="24"/>
          <w:shd w:val="clear" w:color="auto" w:fill="FFFFFF"/>
        </w:rPr>
        <w:t xml:space="preserve">             </w:t>
      </w:r>
    </w:p>
    <w:p w14:paraId="4E3A7011" w14:textId="6D085175" w:rsidR="00D65C84" w:rsidRPr="000B1EEA" w:rsidRDefault="001F5332" w:rsidP="001F5332">
      <w:pPr>
        <w:ind w:left="360"/>
        <w:rPr>
          <w:rFonts w:ascii="微軟正黑體" w:eastAsia="微軟正黑體" w:hAnsi="微軟正黑體"/>
          <w:b/>
          <w:bCs/>
          <w:color w:val="000000"/>
          <w:szCs w:val="24"/>
          <w:shd w:val="clear" w:color="auto" w:fill="FFFFFF"/>
        </w:rPr>
      </w:pPr>
      <w:r w:rsidRPr="000B1EEA">
        <w:rPr>
          <w:rFonts w:ascii="微軟正黑體" w:eastAsia="微軟正黑體" w:hAnsi="微軟正黑體" w:hint="eastAsia"/>
          <w:color w:val="FF0000"/>
          <w:szCs w:val="24"/>
          <w:shd w:val="clear" w:color="auto" w:fill="FFFFFF"/>
        </w:rPr>
        <w:t xml:space="preserve">   </w:t>
      </w:r>
      <w:r w:rsidR="000C113F" w:rsidRPr="000B1EEA">
        <w:rPr>
          <w:rFonts w:ascii="微軟正黑體" w:eastAsia="微軟正黑體" w:hAnsi="微軟正黑體" w:hint="eastAsia"/>
          <w:color w:val="FF0000"/>
          <w:szCs w:val="24"/>
          <w:shd w:val="clear" w:color="auto" w:fill="FFFFFF"/>
        </w:rPr>
        <w:t xml:space="preserve"> </w:t>
      </w:r>
      <w:r w:rsidR="00D65C84" w:rsidRPr="000B1EEA">
        <w:rPr>
          <w:rFonts w:ascii="微軟正黑體" w:eastAsia="微軟正黑體" w:hAnsi="微軟正黑體" w:hint="eastAsia"/>
          <w:b/>
          <w:bCs/>
          <w:color w:val="000000"/>
          <w:szCs w:val="24"/>
          <w:shd w:val="clear" w:color="auto" w:fill="FFFFFF"/>
        </w:rPr>
        <w:t>3.</w:t>
      </w:r>
      <w:r w:rsidR="000C113F" w:rsidRPr="000B1EEA">
        <w:rPr>
          <w:rFonts w:hint="eastAsia"/>
          <w:szCs w:val="24"/>
        </w:rPr>
        <w:t xml:space="preserve"> </w:t>
      </w:r>
      <w:r w:rsidR="000C113F" w:rsidRPr="000B1EEA">
        <w:rPr>
          <w:rFonts w:ascii="微軟正黑體" w:eastAsia="微軟正黑體" w:hAnsi="微軟正黑體" w:hint="eastAsia"/>
          <w:b/>
          <w:bCs/>
          <w:color w:val="000000"/>
          <w:szCs w:val="24"/>
          <w:shd w:val="clear" w:color="auto" w:fill="FFFFFF"/>
        </w:rPr>
        <w:t>選擇權(Options) 4.</w:t>
      </w:r>
      <w:r w:rsidR="000C113F" w:rsidRPr="000B1EEA">
        <w:rPr>
          <w:rFonts w:hint="eastAsia"/>
          <w:szCs w:val="24"/>
        </w:rPr>
        <w:t xml:space="preserve"> </w:t>
      </w:r>
      <w:r w:rsidR="000C113F" w:rsidRPr="000B1EEA">
        <w:rPr>
          <w:rFonts w:ascii="微軟正黑體" w:eastAsia="微軟正黑體" w:hAnsi="微軟正黑體" w:hint="eastAsia"/>
          <w:b/>
          <w:bCs/>
          <w:color w:val="000000"/>
          <w:szCs w:val="24"/>
          <w:shd w:val="clear" w:color="auto" w:fill="FFFFFF"/>
        </w:rPr>
        <w:t>交換契約(Swaps)</w:t>
      </w:r>
    </w:p>
    <w:p w14:paraId="176288A7" w14:textId="77777777" w:rsidR="008B13A5" w:rsidRPr="000B1EEA" w:rsidRDefault="008B13A5" w:rsidP="008B13A5">
      <w:pPr>
        <w:rPr>
          <w:szCs w:val="24"/>
        </w:rPr>
      </w:pPr>
      <w:r w:rsidRPr="000B1EEA">
        <w:rPr>
          <w:rFonts w:hint="eastAsia"/>
          <w:szCs w:val="24"/>
        </w:rPr>
        <w:t xml:space="preserve">     </w:t>
      </w:r>
    </w:p>
    <w:p w14:paraId="6164C774" w14:textId="77777777" w:rsidR="008B13A5" w:rsidRPr="000B1EEA" w:rsidRDefault="008B13A5" w:rsidP="008B13A5">
      <w:pPr>
        <w:rPr>
          <w:b/>
          <w:bCs/>
          <w:szCs w:val="24"/>
        </w:rPr>
      </w:pPr>
      <w:r w:rsidRPr="000B1EEA">
        <w:rPr>
          <w:rFonts w:hint="eastAsia"/>
          <w:szCs w:val="24"/>
        </w:rPr>
        <w:t xml:space="preserve">      </w:t>
      </w:r>
      <w:r w:rsidR="000C113F" w:rsidRPr="000B1EEA">
        <w:rPr>
          <w:rFonts w:hint="eastAsia"/>
          <w:szCs w:val="24"/>
        </w:rPr>
        <w:t>遠期契約</w:t>
      </w:r>
      <w:r w:rsidR="000C113F" w:rsidRPr="000B1EEA">
        <w:rPr>
          <w:rFonts w:hint="eastAsia"/>
          <w:szCs w:val="24"/>
        </w:rPr>
        <w:t>:</w:t>
      </w:r>
      <w:r w:rsidR="000C113F" w:rsidRPr="000B1EEA">
        <w:rPr>
          <w:rFonts w:hint="eastAsia"/>
          <w:b/>
          <w:bCs/>
          <w:szCs w:val="24"/>
        </w:rPr>
        <w:t xml:space="preserve"> </w:t>
      </w:r>
      <w:r w:rsidR="000C113F" w:rsidRPr="000B1EEA">
        <w:rPr>
          <w:rFonts w:hint="eastAsia"/>
          <w:b/>
          <w:bCs/>
          <w:szCs w:val="24"/>
        </w:rPr>
        <w:t>約定在未來特定時日，交易特定標的物的契約，買方同意在約定時日支付一定金額，交換賣方特定數量商品、通貨或利息</w:t>
      </w:r>
      <w:r w:rsidRPr="000B1EEA">
        <w:rPr>
          <w:rFonts w:hint="eastAsia"/>
          <w:b/>
          <w:bCs/>
          <w:szCs w:val="24"/>
        </w:rPr>
        <w:t>。</w:t>
      </w:r>
    </w:p>
    <w:p w14:paraId="2CB6E8A1" w14:textId="42DAC891" w:rsidR="008B13A5" w:rsidRPr="000B1EEA" w:rsidRDefault="008B13A5" w:rsidP="007A2135">
      <w:pPr>
        <w:rPr>
          <w:b/>
          <w:bCs/>
          <w:szCs w:val="24"/>
        </w:rPr>
      </w:pPr>
      <w:r w:rsidRPr="000B1EEA">
        <w:rPr>
          <w:rFonts w:hint="eastAsia"/>
          <w:b/>
          <w:bCs/>
          <w:szCs w:val="24"/>
        </w:rPr>
        <w:t xml:space="preserve">      </w:t>
      </w:r>
      <w:r w:rsidRPr="000B1EEA">
        <w:rPr>
          <w:rFonts w:hint="eastAsia"/>
          <w:b/>
          <w:bCs/>
          <w:szCs w:val="24"/>
        </w:rPr>
        <w:t>例如</w:t>
      </w:r>
      <w:r w:rsidRPr="000B1EEA">
        <w:rPr>
          <w:rFonts w:hint="eastAsia"/>
          <w:b/>
          <w:bCs/>
          <w:szCs w:val="24"/>
        </w:rPr>
        <w:t>:</w:t>
      </w:r>
      <w:r w:rsidRPr="000B1EEA">
        <w:rPr>
          <w:rFonts w:hint="eastAsia"/>
          <w:b/>
          <w:bCs/>
          <w:szCs w:val="24"/>
        </w:rPr>
        <w:t>老王是一家沙拉油製造商的老闆，工廠設在台灣，其產品最主要的原料［黃豆］一直都是從美國進口。由於黃豆產量與價格深受氣候影響，如果黃豆價格上升，將會增加沙拉油的製造成本；反之若價格下跌，將可降低製造成本。因此，老王必須承擔黃豆價格波動的風險；另一方面，小</w:t>
      </w:r>
      <w:r w:rsidR="0063428C" w:rsidRPr="000B1EEA">
        <w:rPr>
          <w:rFonts w:hint="eastAsia"/>
          <w:b/>
          <w:bCs/>
          <w:szCs w:val="24"/>
        </w:rPr>
        <w:t>丁</w:t>
      </w:r>
      <w:r w:rsidRPr="000B1EEA">
        <w:rPr>
          <w:rFonts w:hint="eastAsia"/>
          <w:b/>
          <w:bCs/>
          <w:szCs w:val="24"/>
        </w:rPr>
        <w:t>是一位種植黃豆的農夫，當氣候影響到黃豆收成時，小丁的收入也會有所變化</w:t>
      </w:r>
      <w:r w:rsidR="0063428C" w:rsidRPr="000B1EEA">
        <w:rPr>
          <w:rFonts w:hint="eastAsia"/>
          <w:b/>
          <w:bCs/>
          <w:szCs w:val="24"/>
        </w:rPr>
        <w:t>；當黃豆的價格上升時，他的收入會增加；但價格下跌時，收入則會減少。因此小丁也同樣面對著黃豆價格波動的風險。老王、小丁兩人為了避免黃豆價格波動的風險，可在黃豆播種時先協議未來收成時的預定價格，當黃豆收成時，雙方就以當初約定的價格交易。由於價格已事先協議，老王便可確定黃豆的成本，而小丁則可確定黃豆的收入，如此雙方將可降低其所面對的商品價格風險。這種契約內容，便是所謂的［遠期契約］</w:t>
      </w:r>
      <w:r w:rsidR="007A2135" w:rsidRPr="000B1EEA">
        <w:rPr>
          <w:rFonts w:hint="eastAsia"/>
          <w:b/>
          <w:bCs/>
          <w:szCs w:val="24"/>
        </w:rPr>
        <w:t>。遠期契約大多透過櫃檯買賣</w:t>
      </w:r>
      <w:r w:rsidR="007A2135" w:rsidRPr="000B1EEA">
        <w:rPr>
          <w:rFonts w:hint="eastAsia"/>
          <w:b/>
          <w:bCs/>
          <w:szCs w:val="24"/>
        </w:rPr>
        <w:t>(</w:t>
      </w:r>
      <w:r w:rsidR="007A2135" w:rsidRPr="000B1EEA">
        <w:rPr>
          <w:rFonts w:hint="eastAsia"/>
          <w:b/>
          <w:bCs/>
          <w:szCs w:val="24"/>
        </w:rPr>
        <w:t>即店頭市場</w:t>
      </w:r>
      <w:r w:rsidR="007A2135" w:rsidRPr="000B1EEA">
        <w:rPr>
          <w:rFonts w:hint="eastAsia"/>
          <w:b/>
          <w:bCs/>
          <w:szCs w:val="24"/>
        </w:rPr>
        <w:t>)</w:t>
      </w:r>
      <w:r w:rsidR="007A2135" w:rsidRPr="000B1EEA">
        <w:rPr>
          <w:rFonts w:hint="eastAsia"/>
          <w:b/>
          <w:bCs/>
          <w:szCs w:val="24"/>
        </w:rPr>
        <w:t>或交易雙方私下簽訂，並不是標準化的契約。此外，也沒有完善的保證金與結算制度，契約履行與否完全視交易雙方的信用而定，違約風險遠高於集中市場交易的衍生性金融商品</w:t>
      </w:r>
    </w:p>
    <w:p w14:paraId="2FF4756D" w14:textId="222539D8" w:rsidR="000C113F" w:rsidRPr="000B1EEA" w:rsidRDefault="007A2135" w:rsidP="000C113F">
      <w:pPr>
        <w:ind w:left="720"/>
        <w:rPr>
          <w:rFonts w:ascii="微軟正黑體" w:eastAsia="微軟正黑體" w:hAnsi="微軟正黑體"/>
          <w:color w:val="000000"/>
          <w:szCs w:val="24"/>
          <w:shd w:val="clear" w:color="auto" w:fill="FFFFFF"/>
        </w:rPr>
      </w:pPr>
      <w:r w:rsidRPr="000B1EEA">
        <w:rPr>
          <w:rFonts w:hint="eastAsia"/>
          <w:szCs w:val="24"/>
        </w:rPr>
        <w:t>(     )</w:t>
      </w:r>
      <w:r w:rsidRPr="000B1EEA">
        <w:rPr>
          <w:rFonts w:hint="eastAsia"/>
          <w:szCs w:val="24"/>
        </w:rPr>
        <w:t>牛刀小試</w:t>
      </w:r>
      <w:r w:rsidRPr="000B1EEA">
        <w:rPr>
          <w:rFonts w:hint="eastAsia"/>
          <w:szCs w:val="24"/>
        </w:rPr>
        <w:t>2:</w:t>
      </w:r>
      <w:r w:rsidR="000C113F" w:rsidRPr="000B1EEA">
        <w:rPr>
          <w:rFonts w:ascii="微軟正黑體" w:eastAsia="微軟正黑體" w:hAnsi="微軟正黑體" w:hint="eastAsia"/>
          <w:color w:val="000000"/>
          <w:szCs w:val="24"/>
          <w:shd w:val="clear" w:color="auto" w:fill="FFFFFF"/>
        </w:rPr>
        <w:t>遠期交割之交易係指交割日晚於下列何者之交易？ </w:t>
      </w:r>
    </w:p>
    <w:p w14:paraId="6DC1466F" w14:textId="2C26E682" w:rsidR="000C113F" w:rsidRPr="000B1EEA" w:rsidRDefault="000C113F" w:rsidP="000C113F">
      <w:pPr>
        <w:ind w:left="720"/>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(A)交易日 (B)生效日 (C)到期日 (D)即期交割日</w:t>
      </w:r>
    </w:p>
    <w:p w14:paraId="5BBFDF53" w14:textId="1490A0C9" w:rsidR="008B13A5" w:rsidRPr="000B1EEA" w:rsidRDefault="0045470A" w:rsidP="000C113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xml:space="preserve">   </w:t>
      </w:r>
      <w:r w:rsidR="007A2135" w:rsidRPr="000B1EEA">
        <w:rPr>
          <w:rFonts w:ascii="微軟正黑體" w:eastAsia="微軟正黑體" w:hAnsi="微軟正黑體" w:hint="eastAsia"/>
          <w:color w:val="000000"/>
          <w:szCs w:val="24"/>
          <w:shd w:val="clear" w:color="auto" w:fill="FFFFFF"/>
        </w:rPr>
        <w:t xml:space="preserve"> </w:t>
      </w:r>
      <w:r w:rsidRPr="000B1EEA">
        <w:rPr>
          <w:rFonts w:ascii="微軟正黑體" w:eastAsia="微軟正黑體" w:hAnsi="微軟正黑體" w:hint="eastAsia"/>
          <w:color w:val="000000"/>
          <w:szCs w:val="24"/>
          <w:shd w:val="clear" w:color="auto" w:fill="FFFFFF"/>
        </w:rPr>
        <w:t xml:space="preserve"> </w:t>
      </w:r>
      <w:r w:rsidR="000C113F" w:rsidRPr="000B1EEA">
        <w:rPr>
          <w:rFonts w:ascii="微軟正黑體" w:eastAsia="微軟正黑體" w:hAnsi="微軟正黑體" w:hint="eastAsia"/>
          <w:color w:val="000000"/>
          <w:szCs w:val="24"/>
          <w:shd w:val="clear" w:color="auto" w:fill="FFFFFF"/>
        </w:rPr>
        <w:t>(   )</w:t>
      </w:r>
      <w:r w:rsidR="007A2135" w:rsidRPr="000B1EEA">
        <w:rPr>
          <w:rFonts w:hint="eastAsia"/>
          <w:szCs w:val="24"/>
        </w:rPr>
        <w:t xml:space="preserve"> </w:t>
      </w:r>
      <w:r w:rsidR="007A2135" w:rsidRPr="000B1EEA">
        <w:rPr>
          <w:rFonts w:hint="eastAsia"/>
          <w:szCs w:val="24"/>
        </w:rPr>
        <w:t>牛刀小試</w:t>
      </w:r>
      <w:r w:rsidR="007A2135" w:rsidRPr="000B1EEA">
        <w:rPr>
          <w:rFonts w:hint="eastAsia"/>
          <w:szCs w:val="24"/>
        </w:rPr>
        <w:t>3:</w:t>
      </w:r>
      <w:r w:rsidR="000C113F" w:rsidRPr="000B1EEA">
        <w:rPr>
          <w:rFonts w:ascii="微軟正黑體" w:eastAsia="微軟正黑體" w:hAnsi="微軟正黑體" w:hint="eastAsia"/>
          <w:color w:val="000000"/>
          <w:szCs w:val="24"/>
          <w:shd w:val="clear" w:color="auto" w:fill="FFFFFF"/>
        </w:rPr>
        <w:t>有關遠期合約的敘述，下列何者為非</w:t>
      </w:r>
      <w:r w:rsidR="008B13A5" w:rsidRPr="000B1EEA">
        <w:rPr>
          <w:rFonts w:ascii="微軟正黑體" w:eastAsia="微軟正黑體" w:hAnsi="微軟正黑體" w:hint="eastAsia"/>
          <w:color w:val="000000"/>
          <w:szCs w:val="24"/>
          <w:shd w:val="clear" w:color="auto" w:fill="FFFFFF"/>
        </w:rPr>
        <w:t xml:space="preserve">?                         </w:t>
      </w:r>
    </w:p>
    <w:p w14:paraId="250F6B24" w14:textId="31F87D25" w:rsidR="00BA2909" w:rsidRPr="000B1EEA" w:rsidRDefault="000C113F" w:rsidP="002F2A9B">
      <w:pPr>
        <w:pStyle w:val="a3"/>
        <w:numPr>
          <w:ilvl w:val="0"/>
          <w:numId w:val="2"/>
        </w:numPr>
        <w:ind w:leftChars="0"/>
        <w:rPr>
          <w:rFonts w:ascii="微軟正黑體" w:eastAsia="微軟正黑體" w:hAnsi="微軟正黑體"/>
          <w:color w:val="000000"/>
          <w:shd w:val="clear" w:color="auto" w:fill="FFFFFF"/>
        </w:rPr>
      </w:pPr>
      <w:r w:rsidRPr="000B1EEA">
        <w:rPr>
          <w:rFonts w:ascii="微軟正黑體" w:eastAsia="微軟正黑體" w:hAnsi="微軟正黑體" w:hint="eastAsia"/>
          <w:color w:val="000000"/>
          <w:shd w:val="clear" w:color="auto" w:fill="FFFFFF"/>
        </w:rPr>
        <w:t>沒有交易所 (B)合約由買賣雙方訂定 (C)有一定的交割曰</w:t>
      </w:r>
    </w:p>
    <w:p w14:paraId="143BEE95" w14:textId="220F8107" w:rsidR="00D65C84" w:rsidRPr="000B1EEA" w:rsidRDefault="000C113F" w:rsidP="00BA2909">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(D)議價 </w:t>
      </w:r>
    </w:p>
    <w:p w14:paraId="3844892E" w14:textId="38A6F9E0" w:rsidR="0045470A" w:rsidRPr="000B1EEA" w:rsidRDefault="0045470A" w:rsidP="007A2135">
      <w:pPr>
        <w:widowControl/>
        <w:shd w:val="clear" w:color="auto" w:fill="FFFFFF"/>
        <w:spacing w:before="100" w:beforeAutospacing="1" w:after="100" w:afterAutospacing="1"/>
        <w:ind w:firstLineChars="200" w:firstLine="480"/>
        <w:outlineLvl w:val="2"/>
        <w:rPr>
          <w:rFonts w:ascii="Arial" w:eastAsia="新細明體" w:hAnsi="Arial" w:cs="Arial"/>
          <w:bCs/>
          <w:color w:val="000000" w:themeColor="text1"/>
          <w:kern w:val="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EEA">
        <w:rPr>
          <w:rFonts w:ascii="Arial" w:eastAsia="新細明體" w:hAnsi="Arial" w:cs="Arial" w:hint="eastAsia"/>
          <w:bCs/>
          <w:color w:val="000000" w:themeColor="text1"/>
          <w:kern w:val="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7A2135" w:rsidRPr="000B1EEA">
        <w:rPr>
          <w:rFonts w:hint="eastAsia"/>
          <w:szCs w:val="24"/>
        </w:rPr>
        <w:t xml:space="preserve"> </w:t>
      </w:r>
      <w:r w:rsidR="007A2135" w:rsidRPr="000B1EEA">
        <w:rPr>
          <w:rFonts w:hint="eastAsia"/>
          <w:szCs w:val="24"/>
        </w:rPr>
        <w:t>牛刀小試</w:t>
      </w:r>
      <w:r w:rsidR="007A2135" w:rsidRPr="000B1EEA">
        <w:rPr>
          <w:szCs w:val="24"/>
        </w:rPr>
        <w:t>4</w:t>
      </w:r>
      <w:r w:rsidRPr="000B1EEA">
        <w:rPr>
          <w:rFonts w:ascii="Arial" w:eastAsia="新細明體" w:hAnsi="Arial" w:cs="Arial"/>
          <w:bCs/>
          <w:color w:val="000000" w:themeColor="text1"/>
          <w:kern w:val="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下列何者非遠期合約（</w:t>
      </w:r>
      <w:r w:rsidRPr="000B1EEA">
        <w:rPr>
          <w:rFonts w:ascii="Arial" w:eastAsia="新細明體" w:hAnsi="Arial" w:cs="Arial"/>
          <w:bCs/>
          <w:color w:val="000000" w:themeColor="text1"/>
          <w:kern w:val="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 contracts</w:t>
      </w:r>
      <w:r w:rsidRPr="000B1EEA">
        <w:rPr>
          <w:rFonts w:ascii="Arial" w:eastAsia="新細明體" w:hAnsi="Arial" w:cs="Arial"/>
          <w:bCs/>
          <w:color w:val="000000" w:themeColor="text1"/>
          <w:kern w:val="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）之特性？</w:t>
      </w:r>
    </w:p>
    <w:p w14:paraId="47D5B8AB" w14:textId="2A708CB3" w:rsidR="0045470A" w:rsidRPr="000B1EEA" w:rsidRDefault="0045470A" w:rsidP="002F2A9B">
      <w:pPr>
        <w:pStyle w:val="a3"/>
        <w:numPr>
          <w:ilvl w:val="0"/>
          <w:numId w:val="15"/>
        </w:numPr>
        <w:shd w:val="clear" w:color="auto" w:fill="FFFFFF"/>
        <w:spacing w:before="100" w:beforeAutospacing="1" w:after="100" w:afterAutospacing="1"/>
        <w:ind w:leftChars="0"/>
        <w:outlineLvl w:val="2"/>
      </w:pPr>
      <w:r w:rsidRPr="000B1EEA">
        <w:lastRenderedPageBreak/>
        <w:t>定型化合約(B)買賣雙方直接議價(C)買賣雙方互相承擔對方信用風險(D)缺乏流通性（LIQUIDITY）</w:t>
      </w:r>
    </w:p>
    <w:p w14:paraId="372891DD" w14:textId="5B8BF502" w:rsidR="00972FF4" w:rsidRPr="000B1EEA" w:rsidRDefault="00972FF4" w:rsidP="00972FF4">
      <w:pPr>
        <w:pStyle w:val="a3"/>
        <w:shd w:val="clear" w:color="auto" w:fill="FFFFFF"/>
        <w:spacing w:before="100" w:beforeAutospacing="1" w:after="100" w:afterAutospacing="1"/>
        <w:ind w:leftChars="0" w:left="360"/>
        <w:jc w:val="center"/>
        <w:outlineLvl w:val="2"/>
        <w:rPr>
          <w:rFonts w:ascii="Arial" w:hAnsi="Arial" w:cs="Arial"/>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EEA">
        <w:rPr>
          <w:rFonts w:asciiTheme="majorEastAsia" w:eastAsiaTheme="majorEastAsia" w:hAnsiTheme="majorEastAsia"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期貨契約(Futures)</w:t>
      </w:r>
    </w:p>
    <w:p w14:paraId="38CF28A8" w14:textId="7DF5638C" w:rsidR="00996EFE" w:rsidRPr="000B1EEA" w:rsidRDefault="000C113F" w:rsidP="00972FF4">
      <w:pPr>
        <w:rPr>
          <w:rFonts w:asciiTheme="majorEastAsia" w:eastAsiaTheme="majorEastAsia" w:hAnsiTheme="majorEastAsia"/>
          <w:szCs w:val="24"/>
        </w:rPr>
      </w:pPr>
      <w:r w:rsidRPr="000B1EEA">
        <w:rPr>
          <w:rFonts w:asciiTheme="majorEastAsia" w:eastAsiaTheme="majorEastAsia" w:hAnsiTheme="majorEastAsia" w:hint="eastAsia"/>
          <w:color w:val="FF0000"/>
          <w:szCs w:val="24"/>
        </w:rPr>
        <w:t>期貨契約(Futures)</w:t>
      </w:r>
      <w:r w:rsidRPr="000B1EEA">
        <w:rPr>
          <w:rFonts w:asciiTheme="majorEastAsia" w:eastAsiaTheme="majorEastAsia" w:hAnsiTheme="majorEastAsia" w:hint="eastAsia"/>
          <w:szCs w:val="24"/>
        </w:rPr>
        <w:t>: 定義同遠期契約，不同在期貨契約交易標的物已標準化，買賣雙方除價格外，無彈性協議空間，且經交易所交易</w:t>
      </w:r>
      <w:r w:rsidR="00315CA8" w:rsidRPr="000B1EEA">
        <w:rPr>
          <w:rFonts w:asciiTheme="majorEastAsia" w:eastAsiaTheme="majorEastAsia" w:hAnsiTheme="majorEastAsia" w:hint="eastAsia"/>
          <w:szCs w:val="24"/>
        </w:rPr>
        <w:t>。</w:t>
      </w:r>
      <w:r w:rsidR="00972FF4" w:rsidRPr="000B1EEA">
        <w:rPr>
          <w:rFonts w:asciiTheme="majorEastAsia" w:eastAsiaTheme="majorEastAsia" w:hAnsiTheme="majorEastAsia" w:hint="eastAsia"/>
          <w:szCs w:val="24"/>
        </w:rPr>
        <w:t>指名在未來的某一特定日，以約定的價格買進或賣出一定數量與品質的商品，而為了交易能夠確實執行，交易雙方均要繳交保證金。以</w:t>
      </w:r>
      <w:r w:rsidR="00972FF4" w:rsidRPr="000B1EEA">
        <w:rPr>
          <w:rFonts w:asciiTheme="majorEastAsia" w:eastAsiaTheme="majorEastAsia" w:hAnsiTheme="majorEastAsia"/>
          <w:szCs w:val="24"/>
        </w:rPr>
        <w:t>CME</w:t>
      </w:r>
      <w:r w:rsidR="00972FF4" w:rsidRPr="000B1EEA">
        <w:rPr>
          <w:rFonts w:asciiTheme="majorEastAsia" w:eastAsiaTheme="majorEastAsia" w:hAnsiTheme="majorEastAsia" w:hint="eastAsia"/>
          <w:szCs w:val="24"/>
        </w:rPr>
        <w:t>集團的黃豆期貨為例，每口契約規格為5000英斗，原始保證金為2310美元，維持保證金為2100美元，若目前黃豆期貨價格為每英斗10美元，則此契約的總價值為五萬美元(5000*10)，代表投資人只要繳交2310美元就可以買進(賣出)一口價值5萬美元的黃豆契約。在投資人持有黃豆期貨期間，若其保證金餘額低於2100美元時</w:t>
      </w:r>
      <w:r w:rsidR="00691FBE" w:rsidRPr="000B1EEA">
        <w:rPr>
          <w:rFonts w:asciiTheme="majorEastAsia" w:eastAsiaTheme="majorEastAsia" w:hAnsiTheme="majorEastAsia" w:hint="eastAsia"/>
          <w:szCs w:val="24"/>
        </w:rPr>
        <w:t>，該投資人將會被追繳保證金至2310美元的水準</w:t>
      </w:r>
      <w:r w:rsidR="00996EFE" w:rsidRPr="000B1EEA">
        <w:rPr>
          <w:rFonts w:asciiTheme="majorEastAsia" w:eastAsiaTheme="majorEastAsia" w:hAnsiTheme="majorEastAsia" w:hint="eastAsia"/>
          <w:szCs w:val="24"/>
        </w:rPr>
        <w:t>。</w:t>
      </w:r>
    </w:p>
    <w:p w14:paraId="54316717" w14:textId="2A88EC25" w:rsidR="00315CA8" w:rsidRPr="000B1EEA" w:rsidRDefault="00315CA8" w:rsidP="00315CA8">
      <w:pPr>
        <w:rPr>
          <w:szCs w:val="24"/>
        </w:rPr>
      </w:pPr>
      <w:r w:rsidRPr="000B1EEA">
        <w:rPr>
          <w:rFonts w:hint="eastAsia"/>
          <w:szCs w:val="24"/>
        </w:rPr>
        <w:t>1.</w:t>
      </w:r>
      <w:r w:rsidRPr="000B1EEA">
        <w:rPr>
          <w:rFonts w:hint="eastAsia"/>
          <w:szCs w:val="24"/>
        </w:rPr>
        <w:t>期貨契約是一種法律契約</w:t>
      </w:r>
      <w:r w:rsidRPr="000B1EEA">
        <w:rPr>
          <w:rFonts w:hint="eastAsia"/>
          <w:szCs w:val="24"/>
        </w:rPr>
        <w:t>:</w:t>
      </w:r>
      <w:r w:rsidRPr="000B1EEA">
        <w:rPr>
          <w:rFonts w:hint="eastAsia"/>
          <w:szCs w:val="24"/>
        </w:rPr>
        <w:t>期貨契約具有法律效力</w:t>
      </w:r>
    </w:p>
    <w:p w14:paraId="4F5950DD" w14:textId="54D3DC69" w:rsidR="000C113F" w:rsidRPr="000B1EEA" w:rsidRDefault="00315CA8" w:rsidP="000C113F">
      <w:pPr>
        <w:rPr>
          <w:szCs w:val="24"/>
        </w:rPr>
      </w:pPr>
      <w:r w:rsidRPr="000B1EEA">
        <w:rPr>
          <w:rFonts w:hint="eastAsia"/>
          <w:szCs w:val="24"/>
        </w:rPr>
        <w:t>2.</w:t>
      </w:r>
      <w:r w:rsidRPr="000B1EEA">
        <w:rPr>
          <w:rFonts w:hint="eastAsia"/>
          <w:szCs w:val="24"/>
        </w:rPr>
        <w:t>期貨契約標準化要素，也就是期貨契約應記載之主要內容包括</w:t>
      </w:r>
    </w:p>
    <w:p w14:paraId="5EBB98AF" w14:textId="2FC420D8" w:rsidR="00315CA8" w:rsidRPr="000B1EEA" w:rsidRDefault="00315CA8" w:rsidP="000C113F">
      <w:pPr>
        <w:rPr>
          <w:szCs w:val="24"/>
        </w:rPr>
      </w:pPr>
      <w:r w:rsidRPr="000B1EEA">
        <w:rPr>
          <w:rFonts w:hint="eastAsia"/>
          <w:szCs w:val="24"/>
        </w:rPr>
        <w:t>(1).</w:t>
      </w:r>
      <w:r w:rsidRPr="000B1EEA">
        <w:rPr>
          <w:rFonts w:hint="eastAsia"/>
          <w:szCs w:val="24"/>
        </w:rPr>
        <w:t>交易標的</w:t>
      </w:r>
    </w:p>
    <w:p w14:paraId="122CDDEE" w14:textId="4283725C" w:rsidR="00315CA8" w:rsidRPr="000B1EEA" w:rsidRDefault="00315CA8" w:rsidP="000C113F">
      <w:pPr>
        <w:rPr>
          <w:szCs w:val="24"/>
        </w:rPr>
      </w:pPr>
      <w:r w:rsidRPr="000B1EEA">
        <w:rPr>
          <w:rFonts w:hint="eastAsia"/>
          <w:szCs w:val="24"/>
        </w:rPr>
        <w:t>(2).</w:t>
      </w:r>
      <w:r w:rsidRPr="000B1EEA">
        <w:rPr>
          <w:rFonts w:hint="eastAsia"/>
          <w:szCs w:val="24"/>
        </w:rPr>
        <w:t>契約規格</w:t>
      </w:r>
    </w:p>
    <w:p w14:paraId="04DB8B5E" w14:textId="311595DB" w:rsidR="00315CA8" w:rsidRPr="000B1EEA" w:rsidRDefault="00315CA8" w:rsidP="000C113F">
      <w:pPr>
        <w:rPr>
          <w:szCs w:val="24"/>
        </w:rPr>
      </w:pPr>
      <w:r w:rsidRPr="000B1EEA">
        <w:rPr>
          <w:rFonts w:hint="eastAsia"/>
          <w:szCs w:val="24"/>
        </w:rPr>
        <w:t>(3)</w:t>
      </w:r>
      <w:r w:rsidRPr="000B1EEA">
        <w:rPr>
          <w:rFonts w:hint="eastAsia"/>
          <w:szCs w:val="24"/>
        </w:rPr>
        <w:t>交割品質</w:t>
      </w:r>
      <w:r w:rsidRPr="000B1EEA">
        <w:rPr>
          <w:rFonts w:hint="eastAsia"/>
          <w:szCs w:val="24"/>
        </w:rPr>
        <w:t>:</w:t>
      </w:r>
      <w:r w:rsidRPr="000B1EEA">
        <w:rPr>
          <w:rFonts w:hint="eastAsia"/>
          <w:szCs w:val="24"/>
        </w:rPr>
        <w:t>如黃金期貨提出交割之黃金現貨必須是每塊重</w:t>
      </w:r>
      <w:r w:rsidRPr="000B1EEA">
        <w:rPr>
          <w:rFonts w:hint="eastAsia"/>
          <w:szCs w:val="24"/>
        </w:rPr>
        <w:t>100</w:t>
      </w:r>
      <w:r w:rsidRPr="000B1EEA">
        <w:rPr>
          <w:rFonts w:hint="eastAsia"/>
          <w:szCs w:val="24"/>
        </w:rPr>
        <w:t>盎司，成色</w:t>
      </w:r>
      <w:r w:rsidRPr="000B1EEA">
        <w:rPr>
          <w:rFonts w:hint="eastAsia"/>
          <w:szCs w:val="24"/>
        </w:rPr>
        <w:t>0.995</w:t>
      </w:r>
    </w:p>
    <w:p w14:paraId="2422AE21" w14:textId="22A30031" w:rsidR="00315CA8" w:rsidRPr="000B1EEA" w:rsidRDefault="00315CA8" w:rsidP="000C113F">
      <w:pPr>
        <w:rPr>
          <w:szCs w:val="24"/>
        </w:rPr>
      </w:pPr>
      <w:r w:rsidRPr="000B1EEA">
        <w:rPr>
          <w:rFonts w:hint="eastAsia"/>
          <w:szCs w:val="24"/>
        </w:rPr>
        <w:t>(4)</w:t>
      </w:r>
      <w:r w:rsidRPr="000B1EEA">
        <w:rPr>
          <w:rFonts w:hint="eastAsia"/>
          <w:szCs w:val="24"/>
        </w:rPr>
        <w:t>交割方式</w:t>
      </w:r>
    </w:p>
    <w:p w14:paraId="624B2A38" w14:textId="41B46625" w:rsidR="00315CA8" w:rsidRPr="000B1EEA" w:rsidRDefault="00315CA8" w:rsidP="000C113F">
      <w:pPr>
        <w:rPr>
          <w:szCs w:val="24"/>
        </w:rPr>
      </w:pPr>
      <w:r w:rsidRPr="000B1EEA">
        <w:rPr>
          <w:rFonts w:hint="eastAsia"/>
          <w:szCs w:val="24"/>
        </w:rPr>
        <w:t>(5)</w:t>
      </w:r>
      <w:r w:rsidRPr="000B1EEA">
        <w:rPr>
          <w:rFonts w:hint="eastAsia"/>
          <w:szCs w:val="24"/>
        </w:rPr>
        <w:t>交易時間</w:t>
      </w:r>
    </w:p>
    <w:p w14:paraId="40BF6CE9" w14:textId="0B41DCCB" w:rsidR="00315CA8" w:rsidRPr="000B1EEA" w:rsidRDefault="00315CA8" w:rsidP="000C113F">
      <w:pPr>
        <w:rPr>
          <w:szCs w:val="24"/>
        </w:rPr>
      </w:pPr>
      <w:r w:rsidRPr="000B1EEA">
        <w:rPr>
          <w:rFonts w:hint="eastAsia"/>
          <w:szCs w:val="24"/>
        </w:rPr>
        <w:t>(6)</w:t>
      </w:r>
      <w:r w:rsidRPr="000B1EEA">
        <w:rPr>
          <w:rFonts w:hint="eastAsia"/>
          <w:szCs w:val="24"/>
        </w:rPr>
        <w:t>最小跳動值</w:t>
      </w:r>
      <w:r w:rsidRPr="000B1EEA">
        <w:rPr>
          <w:rFonts w:hint="eastAsia"/>
          <w:szCs w:val="24"/>
        </w:rPr>
        <w:t>:</w:t>
      </w:r>
      <w:r w:rsidRPr="000B1EEA">
        <w:rPr>
          <w:rFonts w:hint="eastAsia"/>
          <w:szCs w:val="24"/>
        </w:rPr>
        <w:t>如台股期貨最小升降單位為指數</w:t>
      </w:r>
      <w:r w:rsidRPr="000B1EEA">
        <w:rPr>
          <w:rFonts w:hint="eastAsia"/>
          <w:szCs w:val="24"/>
        </w:rPr>
        <w:t>1</w:t>
      </w:r>
      <w:r w:rsidRPr="000B1EEA">
        <w:rPr>
          <w:rFonts w:hint="eastAsia"/>
          <w:szCs w:val="24"/>
        </w:rPr>
        <w:t>點，相當於新台幣</w:t>
      </w:r>
      <w:r w:rsidRPr="000B1EEA">
        <w:rPr>
          <w:rFonts w:hint="eastAsia"/>
          <w:szCs w:val="24"/>
        </w:rPr>
        <w:t>200</w:t>
      </w:r>
      <w:r w:rsidRPr="000B1EEA">
        <w:rPr>
          <w:rFonts w:hint="eastAsia"/>
          <w:szCs w:val="24"/>
        </w:rPr>
        <w:t>元</w:t>
      </w:r>
    </w:p>
    <w:p w14:paraId="3A63BDE7" w14:textId="150D22F6" w:rsidR="00315CA8" w:rsidRPr="000B1EEA" w:rsidRDefault="00315CA8" w:rsidP="000C113F">
      <w:pPr>
        <w:rPr>
          <w:szCs w:val="24"/>
        </w:rPr>
      </w:pPr>
      <w:r w:rsidRPr="000B1EEA">
        <w:rPr>
          <w:rFonts w:hint="eastAsia"/>
          <w:szCs w:val="24"/>
        </w:rPr>
        <w:t>(7)</w:t>
      </w:r>
      <w:r w:rsidRPr="000B1EEA">
        <w:rPr>
          <w:rFonts w:hint="eastAsia"/>
          <w:szCs w:val="24"/>
        </w:rPr>
        <w:t>漲跌幅限制</w:t>
      </w:r>
    </w:p>
    <w:p w14:paraId="719286C8" w14:textId="2286B917" w:rsidR="00315CA8" w:rsidRPr="000B1EEA" w:rsidRDefault="00315CA8" w:rsidP="000C113F">
      <w:pPr>
        <w:rPr>
          <w:szCs w:val="24"/>
        </w:rPr>
      </w:pPr>
      <w:r w:rsidRPr="000B1EEA">
        <w:rPr>
          <w:rFonts w:hint="eastAsia"/>
          <w:szCs w:val="24"/>
        </w:rPr>
        <w:t>(8)</w:t>
      </w:r>
      <w:r w:rsidRPr="000B1EEA">
        <w:rPr>
          <w:rFonts w:hint="eastAsia"/>
          <w:szCs w:val="24"/>
        </w:rPr>
        <w:t>交易月份</w:t>
      </w:r>
      <w:r w:rsidRPr="000B1EEA">
        <w:rPr>
          <w:rFonts w:hint="eastAsia"/>
          <w:szCs w:val="24"/>
        </w:rPr>
        <w:t xml:space="preserve"> (9)</w:t>
      </w:r>
      <w:r w:rsidRPr="000B1EEA">
        <w:rPr>
          <w:rFonts w:hint="eastAsia"/>
          <w:szCs w:val="24"/>
        </w:rPr>
        <w:t>最後交易日</w:t>
      </w:r>
    </w:p>
    <w:p w14:paraId="6AD24E6C" w14:textId="77777777" w:rsidR="00315CA8" w:rsidRPr="000B1EEA" w:rsidRDefault="00315CA8" w:rsidP="002F2A9B">
      <w:pPr>
        <w:numPr>
          <w:ilvl w:val="0"/>
          <w:numId w:val="3"/>
        </w:numPr>
        <w:jc w:val="center"/>
        <w:rPr>
          <w:color w:val="FF0000"/>
          <w:szCs w:val="24"/>
        </w:rPr>
      </w:pPr>
      <w:r w:rsidRPr="000B1EEA">
        <w:rPr>
          <w:rFonts w:hint="eastAsia"/>
          <w:color w:val="FF0000"/>
          <w:szCs w:val="24"/>
        </w:rPr>
        <w:t>期貨與遠期合約的差別</w:t>
      </w:r>
    </w:p>
    <w:tbl>
      <w:tblPr>
        <w:tblStyle w:val="a5"/>
        <w:tblW w:w="8359" w:type="dxa"/>
        <w:tblLook w:val="04A0" w:firstRow="1" w:lastRow="0" w:firstColumn="1" w:lastColumn="0" w:noHBand="0" w:noVBand="1"/>
      </w:tblPr>
      <w:tblGrid>
        <w:gridCol w:w="2765"/>
        <w:gridCol w:w="3184"/>
        <w:gridCol w:w="2410"/>
      </w:tblGrid>
      <w:tr w:rsidR="00D51088" w:rsidRPr="000B1EEA" w14:paraId="63C938D9" w14:textId="77777777" w:rsidTr="00255540">
        <w:tc>
          <w:tcPr>
            <w:tcW w:w="2765" w:type="dxa"/>
          </w:tcPr>
          <w:p w14:paraId="5BAB45D3" w14:textId="77777777" w:rsidR="00D51088" w:rsidRPr="000B1EEA" w:rsidRDefault="00D51088" w:rsidP="000C113F">
            <w:pPr>
              <w:rPr>
                <w:szCs w:val="24"/>
              </w:rPr>
            </w:pPr>
          </w:p>
        </w:tc>
        <w:tc>
          <w:tcPr>
            <w:tcW w:w="3184" w:type="dxa"/>
          </w:tcPr>
          <w:p w14:paraId="54A286B8" w14:textId="4B57BBE4" w:rsidR="00D51088" w:rsidRPr="000B1EEA" w:rsidRDefault="00D51088" w:rsidP="00D51088">
            <w:pPr>
              <w:jc w:val="center"/>
              <w:rPr>
                <w:szCs w:val="24"/>
              </w:rPr>
            </w:pPr>
            <w:r w:rsidRPr="000B1EEA">
              <w:rPr>
                <w:rFonts w:hint="eastAsia"/>
                <w:szCs w:val="24"/>
              </w:rPr>
              <w:t>期貨契約</w:t>
            </w:r>
          </w:p>
        </w:tc>
        <w:tc>
          <w:tcPr>
            <w:tcW w:w="2410" w:type="dxa"/>
          </w:tcPr>
          <w:p w14:paraId="7A171D3A" w14:textId="69E17EF3" w:rsidR="00D51088" w:rsidRPr="000B1EEA" w:rsidRDefault="00D51088" w:rsidP="00D51088">
            <w:pPr>
              <w:jc w:val="center"/>
              <w:rPr>
                <w:szCs w:val="24"/>
              </w:rPr>
            </w:pPr>
            <w:r w:rsidRPr="000B1EEA">
              <w:rPr>
                <w:rFonts w:hint="eastAsia"/>
                <w:szCs w:val="24"/>
              </w:rPr>
              <w:t>遠期契約</w:t>
            </w:r>
          </w:p>
        </w:tc>
      </w:tr>
      <w:tr w:rsidR="00D51088" w:rsidRPr="000B1EEA" w14:paraId="0BDF0FD7" w14:textId="77777777" w:rsidTr="00255540">
        <w:tc>
          <w:tcPr>
            <w:tcW w:w="2765" w:type="dxa"/>
          </w:tcPr>
          <w:p w14:paraId="3996C38F" w14:textId="7BD00669" w:rsidR="00D51088" w:rsidRPr="000B1EEA" w:rsidRDefault="00D51088" w:rsidP="000C113F">
            <w:pPr>
              <w:rPr>
                <w:szCs w:val="24"/>
              </w:rPr>
            </w:pPr>
            <w:r w:rsidRPr="000B1EEA">
              <w:rPr>
                <w:rFonts w:hint="eastAsia"/>
                <w:szCs w:val="24"/>
              </w:rPr>
              <w:t>契約內容</w:t>
            </w:r>
          </w:p>
        </w:tc>
        <w:tc>
          <w:tcPr>
            <w:tcW w:w="3184" w:type="dxa"/>
          </w:tcPr>
          <w:p w14:paraId="67D91FE9" w14:textId="2D70C5D0" w:rsidR="00D51088" w:rsidRPr="000B1EEA" w:rsidRDefault="00D51088" w:rsidP="000C113F">
            <w:pPr>
              <w:rPr>
                <w:szCs w:val="24"/>
              </w:rPr>
            </w:pPr>
            <w:r w:rsidRPr="000B1EEA">
              <w:rPr>
                <w:rFonts w:hint="eastAsia"/>
                <w:szCs w:val="24"/>
              </w:rPr>
              <w:t>標準化</w:t>
            </w:r>
          </w:p>
        </w:tc>
        <w:tc>
          <w:tcPr>
            <w:tcW w:w="2410" w:type="dxa"/>
          </w:tcPr>
          <w:p w14:paraId="0FAA1B1E" w14:textId="0ED697F4" w:rsidR="00D51088" w:rsidRPr="000B1EEA" w:rsidRDefault="00D51088" w:rsidP="000C113F">
            <w:pPr>
              <w:rPr>
                <w:szCs w:val="24"/>
              </w:rPr>
            </w:pPr>
            <w:r w:rsidRPr="000B1EEA">
              <w:rPr>
                <w:rFonts w:hint="eastAsia"/>
                <w:szCs w:val="24"/>
              </w:rPr>
              <w:t>非標準化，由交易雙方協議</w:t>
            </w:r>
          </w:p>
        </w:tc>
      </w:tr>
      <w:tr w:rsidR="00D51088" w:rsidRPr="000B1EEA" w14:paraId="66346C49" w14:textId="77777777" w:rsidTr="00255540">
        <w:tc>
          <w:tcPr>
            <w:tcW w:w="2765" w:type="dxa"/>
          </w:tcPr>
          <w:p w14:paraId="076F5897" w14:textId="3608FCFE" w:rsidR="00D51088" w:rsidRPr="000B1EEA" w:rsidRDefault="00D51088" w:rsidP="000C113F">
            <w:pPr>
              <w:rPr>
                <w:szCs w:val="24"/>
              </w:rPr>
            </w:pPr>
            <w:r w:rsidRPr="000B1EEA">
              <w:rPr>
                <w:rFonts w:hint="eastAsia"/>
                <w:szCs w:val="24"/>
              </w:rPr>
              <w:t>交易方式</w:t>
            </w:r>
          </w:p>
        </w:tc>
        <w:tc>
          <w:tcPr>
            <w:tcW w:w="3184" w:type="dxa"/>
          </w:tcPr>
          <w:p w14:paraId="55A65625" w14:textId="4E23EEF5" w:rsidR="00D51088" w:rsidRPr="000B1EEA" w:rsidRDefault="00D51088" w:rsidP="000C113F">
            <w:pPr>
              <w:rPr>
                <w:szCs w:val="24"/>
              </w:rPr>
            </w:pPr>
            <w:r w:rsidRPr="000B1EEA">
              <w:rPr>
                <w:rFonts w:hint="eastAsia"/>
                <w:szCs w:val="24"/>
              </w:rPr>
              <w:t>在集中市場交易</w:t>
            </w:r>
          </w:p>
        </w:tc>
        <w:tc>
          <w:tcPr>
            <w:tcW w:w="2410" w:type="dxa"/>
          </w:tcPr>
          <w:p w14:paraId="6943B99B" w14:textId="0932A88F" w:rsidR="00D51088" w:rsidRPr="000B1EEA" w:rsidRDefault="00255540" w:rsidP="000C113F">
            <w:pPr>
              <w:rPr>
                <w:szCs w:val="24"/>
              </w:rPr>
            </w:pPr>
            <w:r w:rsidRPr="000B1EEA">
              <w:rPr>
                <w:rFonts w:hint="eastAsia"/>
                <w:szCs w:val="24"/>
              </w:rPr>
              <w:t>由雙方協議或店頭市場交易</w:t>
            </w:r>
          </w:p>
        </w:tc>
      </w:tr>
      <w:tr w:rsidR="00D51088" w:rsidRPr="000B1EEA" w14:paraId="06DCE0C9" w14:textId="77777777" w:rsidTr="00255540">
        <w:tc>
          <w:tcPr>
            <w:tcW w:w="2765" w:type="dxa"/>
          </w:tcPr>
          <w:p w14:paraId="042B2BD4" w14:textId="41960CFE" w:rsidR="00D51088" w:rsidRPr="000B1EEA" w:rsidRDefault="00D51088" w:rsidP="000C113F">
            <w:pPr>
              <w:rPr>
                <w:szCs w:val="24"/>
              </w:rPr>
            </w:pPr>
            <w:r w:rsidRPr="000B1EEA">
              <w:rPr>
                <w:rFonts w:hint="eastAsia"/>
                <w:szCs w:val="24"/>
              </w:rPr>
              <w:t>保證金制度</w:t>
            </w:r>
          </w:p>
        </w:tc>
        <w:tc>
          <w:tcPr>
            <w:tcW w:w="3184" w:type="dxa"/>
          </w:tcPr>
          <w:p w14:paraId="073D086F" w14:textId="3E7B6860" w:rsidR="00D51088" w:rsidRPr="000B1EEA" w:rsidRDefault="00D51088" w:rsidP="000C113F">
            <w:pPr>
              <w:rPr>
                <w:szCs w:val="24"/>
              </w:rPr>
            </w:pPr>
            <w:r w:rsidRPr="000B1EEA">
              <w:rPr>
                <w:rFonts w:hint="eastAsia"/>
                <w:szCs w:val="24"/>
              </w:rPr>
              <w:t>買賣雙方均需繳交保證金</w:t>
            </w:r>
          </w:p>
        </w:tc>
        <w:tc>
          <w:tcPr>
            <w:tcW w:w="2410" w:type="dxa"/>
          </w:tcPr>
          <w:p w14:paraId="4B794870" w14:textId="4E6CDEB5" w:rsidR="00D51088" w:rsidRPr="000B1EEA" w:rsidRDefault="00255540" w:rsidP="000C113F">
            <w:pPr>
              <w:rPr>
                <w:szCs w:val="24"/>
              </w:rPr>
            </w:pPr>
            <w:r w:rsidRPr="000B1EEA">
              <w:rPr>
                <w:rFonts w:hint="eastAsia"/>
                <w:szCs w:val="24"/>
              </w:rPr>
              <w:t>沒有完善的保證金制度</w:t>
            </w:r>
          </w:p>
        </w:tc>
      </w:tr>
      <w:tr w:rsidR="00D51088" w:rsidRPr="000B1EEA" w14:paraId="7D0BD480" w14:textId="77777777" w:rsidTr="00255540">
        <w:tc>
          <w:tcPr>
            <w:tcW w:w="2765" w:type="dxa"/>
          </w:tcPr>
          <w:p w14:paraId="62A8284E" w14:textId="73489CED" w:rsidR="00D51088" w:rsidRPr="000B1EEA" w:rsidRDefault="00D51088" w:rsidP="000C113F">
            <w:pPr>
              <w:rPr>
                <w:szCs w:val="24"/>
              </w:rPr>
            </w:pPr>
            <w:r w:rsidRPr="000B1EEA">
              <w:rPr>
                <w:rFonts w:hint="eastAsia"/>
                <w:szCs w:val="24"/>
              </w:rPr>
              <w:t>結算制度</w:t>
            </w:r>
          </w:p>
        </w:tc>
        <w:tc>
          <w:tcPr>
            <w:tcW w:w="3184" w:type="dxa"/>
          </w:tcPr>
          <w:p w14:paraId="681F1565" w14:textId="1E1D8EF0" w:rsidR="00D51088" w:rsidRPr="000B1EEA" w:rsidRDefault="00D51088" w:rsidP="000C113F">
            <w:pPr>
              <w:rPr>
                <w:szCs w:val="24"/>
              </w:rPr>
            </w:pPr>
            <w:r w:rsidRPr="000B1EEA">
              <w:rPr>
                <w:rFonts w:hint="eastAsia"/>
                <w:szCs w:val="24"/>
              </w:rPr>
              <w:t>每日結算</w:t>
            </w:r>
          </w:p>
        </w:tc>
        <w:tc>
          <w:tcPr>
            <w:tcW w:w="2410" w:type="dxa"/>
          </w:tcPr>
          <w:p w14:paraId="0B84B476" w14:textId="18CFB309" w:rsidR="00D51088" w:rsidRPr="000B1EEA" w:rsidRDefault="00255540" w:rsidP="000C113F">
            <w:pPr>
              <w:rPr>
                <w:szCs w:val="24"/>
              </w:rPr>
            </w:pPr>
            <w:r w:rsidRPr="000B1EEA">
              <w:rPr>
                <w:rFonts w:hint="eastAsia"/>
                <w:szCs w:val="24"/>
              </w:rPr>
              <w:t>沒有完善的結算制度</w:t>
            </w:r>
          </w:p>
        </w:tc>
      </w:tr>
      <w:tr w:rsidR="00D51088" w:rsidRPr="000B1EEA" w14:paraId="7DC40F2B" w14:textId="77777777" w:rsidTr="00255540">
        <w:tc>
          <w:tcPr>
            <w:tcW w:w="2765" w:type="dxa"/>
          </w:tcPr>
          <w:p w14:paraId="49E43733" w14:textId="73603B72" w:rsidR="00D51088" w:rsidRPr="000B1EEA" w:rsidRDefault="00D51088" w:rsidP="000C113F">
            <w:pPr>
              <w:rPr>
                <w:szCs w:val="24"/>
              </w:rPr>
            </w:pPr>
            <w:r w:rsidRPr="000B1EEA">
              <w:rPr>
                <w:rFonts w:hint="eastAsia"/>
                <w:szCs w:val="24"/>
              </w:rPr>
              <w:t>違約風險</w:t>
            </w:r>
          </w:p>
        </w:tc>
        <w:tc>
          <w:tcPr>
            <w:tcW w:w="3184" w:type="dxa"/>
          </w:tcPr>
          <w:p w14:paraId="53266D61" w14:textId="222A5CF8" w:rsidR="00D51088" w:rsidRPr="000B1EEA" w:rsidRDefault="00D51088" w:rsidP="000C113F">
            <w:pPr>
              <w:rPr>
                <w:szCs w:val="24"/>
              </w:rPr>
            </w:pPr>
            <w:r w:rsidRPr="000B1EEA">
              <w:rPr>
                <w:rFonts w:hint="eastAsia"/>
                <w:szCs w:val="24"/>
              </w:rPr>
              <w:t>低</w:t>
            </w:r>
          </w:p>
        </w:tc>
        <w:tc>
          <w:tcPr>
            <w:tcW w:w="2410" w:type="dxa"/>
          </w:tcPr>
          <w:p w14:paraId="043EF184" w14:textId="112CB709" w:rsidR="00D51088" w:rsidRPr="000B1EEA" w:rsidRDefault="00255540" w:rsidP="000C113F">
            <w:pPr>
              <w:rPr>
                <w:szCs w:val="24"/>
              </w:rPr>
            </w:pPr>
            <w:r w:rsidRPr="000B1EEA">
              <w:rPr>
                <w:rFonts w:hint="eastAsia"/>
                <w:szCs w:val="24"/>
              </w:rPr>
              <w:t>高</w:t>
            </w:r>
          </w:p>
        </w:tc>
      </w:tr>
      <w:tr w:rsidR="00D51088" w:rsidRPr="000B1EEA" w14:paraId="160F29B7" w14:textId="77777777" w:rsidTr="00255540">
        <w:tc>
          <w:tcPr>
            <w:tcW w:w="2765" w:type="dxa"/>
          </w:tcPr>
          <w:p w14:paraId="6586E9FE" w14:textId="3C145AAB" w:rsidR="00D51088" w:rsidRPr="000B1EEA" w:rsidRDefault="00D51088" w:rsidP="000C113F">
            <w:pPr>
              <w:rPr>
                <w:szCs w:val="24"/>
              </w:rPr>
            </w:pPr>
            <w:r w:rsidRPr="000B1EEA">
              <w:rPr>
                <w:rFonts w:hint="eastAsia"/>
                <w:szCs w:val="24"/>
              </w:rPr>
              <w:t>沖銷交易</w:t>
            </w:r>
          </w:p>
        </w:tc>
        <w:tc>
          <w:tcPr>
            <w:tcW w:w="3184" w:type="dxa"/>
          </w:tcPr>
          <w:p w14:paraId="03CB9B68" w14:textId="4AF57F6E" w:rsidR="00D51088" w:rsidRPr="000B1EEA" w:rsidRDefault="00D51088" w:rsidP="000C113F">
            <w:pPr>
              <w:rPr>
                <w:szCs w:val="24"/>
              </w:rPr>
            </w:pPr>
            <w:r w:rsidRPr="000B1EEA">
              <w:rPr>
                <w:rFonts w:hint="eastAsia"/>
                <w:szCs w:val="24"/>
              </w:rPr>
              <w:t>到期前可進行沖銷交易</w:t>
            </w:r>
          </w:p>
        </w:tc>
        <w:tc>
          <w:tcPr>
            <w:tcW w:w="2410" w:type="dxa"/>
          </w:tcPr>
          <w:p w14:paraId="35158800" w14:textId="6DD311F2" w:rsidR="00D51088" w:rsidRPr="000B1EEA" w:rsidRDefault="00255540" w:rsidP="000C113F">
            <w:pPr>
              <w:rPr>
                <w:szCs w:val="24"/>
              </w:rPr>
            </w:pPr>
            <w:r w:rsidRPr="000B1EEA">
              <w:rPr>
                <w:rFonts w:hint="eastAsia"/>
                <w:szCs w:val="24"/>
              </w:rPr>
              <w:t>到期前不易進行沖銷交易</w:t>
            </w:r>
          </w:p>
        </w:tc>
      </w:tr>
    </w:tbl>
    <w:p w14:paraId="25776D0A" w14:textId="64EBC34D" w:rsidR="00315CA8" w:rsidRPr="000B1EEA" w:rsidRDefault="00315CA8" w:rsidP="000C113F">
      <w:pPr>
        <w:rPr>
          <w:szCs w:val="24"/>
        </w:rPr>
      </w:pPr>
    </w:p>
    <w:p w14:paraId="43B0453A" w14:textId="793ED1B1" w:rsidR="00465836" w:rsidRPr="000B1EEA" w:rsidRDefault="00465836" w:rsidP="000C113F">
      <w:pPr>
        <w:rPr>
          <w:szCs w:val="24"/>
        </w:rPr>
      </w:pPr>
      <w:r w:rsidRPr="000B1EEA">
        <w:rPr>
          <w:rFonts w:hint="eastAsia"/>
          <w:szCs w:val="24"/>
        </w:rPr>
        <w:t>*</w:t>
      </w:r>
      <w:r w:rsidRPr="000B1EEA">
        <w:rPr>
          <w:rFonts w:hint="eastAsia"/>
          <w:szCs w:val="24"/>
        </w:rPr>
        <w:t>沖銷交易</w:t>
      </w:r>
      <w:r w:rsidRPr="000B1EEA">
        <w:rPr>
          <w:rFonts w:hint="eastAsia"/>
          <w:szCs w:val="24"/>
        </w:rPr>
        <w:t>:</w:t>
      </w:r>
      <w:r w:rsidRPr="000B1EEA">
        <w:rPr>
          <w:rFonts w:hint="eastAsia"/>
          <w:szCs w:val="24"/>
        </w:rPr>
        <w:t>即是將手上持有的部位作反向操作，例如將原先買進的期貨契約，在期貨市場上賣出，即完成沖銷的動作</w:t>
      </w:r>
    </w:p>
    <w:p w14:paraId="79FF6710" w14:textId="4E3F5144" w:rsidR="00465836" w:rsidRPr="000B1EEA" w:rsidRDefault="00465836" w:rsidP="000C113F">
      <w:pPr>
        <w:rPr>
          <w:szCs w:val="24"/>
        </w:rPr>
      </w:pPr>
      <w:r w:rsidRPr="000B1EEA">
        <w:rPr>
          <w:rFonts w:hint="eastAsia"/>
          <w:szCs w:val="24"/>
        </w:rPr>
        <w:lastRenderedPageBreak/>
        <w:t>E</w:t>
      </w:r>
      <w:r w:rsidRPr="000B1EEA">
        <w:rPr>
          <w:szCs w:val="24"/>
        </w:rPr>
        <w:t>xample:</w:t>
      </w:r>
      <w:r w:rsidRPr="000B1EEA">
        <w:rPr>
          <w:rFonts w:hint="eastAsia"/>
          <w:szCs w:val="24"/>
        </w:rPr>
        <w:t>小黃買進了一口玉米期貨，價格為每英斗</w:t>
      </w:r>
      <w:r w:rsidRPr="000B1EEA">
        <w:rPr>
          <w:rFonts w:hint="eastAsia"/>
          <w:szCs w:val="24"/>
        </w:rPr>
        <w:t>3.55</w:t>
      </w:r>
      <w:r w:rsidRPr="000B1EEA">
        <w:rPr>
          <w:rFonts w:hint="eastAsia"/>
          <w:szCs w:val="24"/>
        </w:rPr>
        <w:t>美元，假設玉米期貨的每口契約規格為</w:t>
      </w:r>
      <w:r w:rsidRPr="000B1EEA">
        <w:rPr>
          <w:rFonts w:hint="eastAsia"/>
          <w:szCs w:val="24"/>
        </w:rPr>
        <w:t>5000</w:t>
      </w:r>
      <w:r w:rsidRPr="000B1EEA">
        <w:rPr>
          <w:rFonts w:hint="eastAsia"/>
          <w:szCs w:val="24"/>
        </w:rPr>
        <w:t>英斗，原始保證金為</w:t>
      </w:r>
      <w:r w:rsidRPr="000B1EEA">
        <w:rPr>
          <w:rFonts w:hint="eastAsia"/>
          <w:szCs w:val="24"/>
        </w:rPr>
        <w:t>990</w:t>
      </w:r>
      <w:r w:rsidRPr="000B1EEA">
        <w:rPr>
          <w:rFonts w:hint="eastAsia"/>
          <w:szCs w:val="24"/>
        </w:rPr>
        <w:t>美元、維持保證金為</w:t>
      </w:r>
      <w:r w:rsidRPr="000B1EEA">
        <w:rPr>
          <w:rFonts w:hint="eastAsia"/>
          <w:szCs w:val="24"/>
        </w:rPr>
        <w:t>900</w:t>
      </w:r>
      <w:r w:rsidRPr="000B1EEA">
        <w:rPr>
          <w:rFonts w:hint="eastAsia"/>
          <w:szCs w:val="24"/>
        </w:rPr>
        <w:t>美元，請問小黃買進玉米期貨的每口契約價值是多少</w:t>
      </w:r>
      <w:r w:rsidRPr="000B1EEA">
        <w:rPr>
          <w:rFonts w:hint="eastAsia"/>
          <w:szCs w:val="24"/>
        </w:rPr>
        <w:t>?</w:t>
      </w:r>
      <w:r w:rsidRPr="000B1EEA">
        <w:rPr>
          <w:rFonts w:hint="eastAsia"/>
          <w:szCs w:val="24"/>
        </w:rPr>
        <w:t>小黃在買進玉米期貨時，需支付多少保證金</w:t>
      </w:r>
      <w:r w:rsidRPr="000B1EEA">
        <w:rPr>
          <w:rFonts w:hint="eastAsia"/>
          <w:szCs w:val="24"/>
        </w:rPr>
        <w:t>?</w:t>
      </w:r>
      <w:r w:rsidRPr="000B1EEA">
        <w:rPr>
          <w:rFonts w:hint="eastAsia"/>
          <w:szCs w:val="24"/>
        </w:rPr>
        <w:t>又槓桿倍數為</w:t>
      </w:r>
      <w:r w:rsidRPr="000B1EEA">
        <w:rPr>
          <w:rFonts w:hint="eastAsia"/>
          <w:szCs w:val="24"/>
        </w:rPr>
        <w:t>?</w:t>
      </w:r>
    </w:p>
    <w:p w14:paraId="3566D76B" w14:textId="6991DF8A" w:rsidR="00315CA8" w:rsidRPr="000B1EEA" w:rsidRDefault="00EB5338" w:rsidP="000C113F">
      <w:pPr>
        <w:rPr>
          <w:szCs w:val="24"/>
        </w:rPr>
      </w:pPr>
      <w:r w:rsidRPr="000B1EEA">
        <w:rPr>
          <w:rFonts w:hint="eastAsia"/>
          <w:noProof/>
          <w:szCs w:val="24"/>
        </w:rPr>
        <w:drawing>
          <wp:inline distT="0" distB="0" distL="0" distR="0" wp14:anchorId="21A88B4B" wp14:editId="3A40F8B4">
            <wp:extent cx="5274310" cy="2550160"/>
            <wp:effectExtent l="0" t="0"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550160"/>
                    </a:xfrm>
                    <a:prstGeom prst="rect">
                      <a:avLst/>
                    </a:prstGeom>
                  </pic:spPr>
                </pic:pic>
              </a:graphicData>
            </a:graphic>
          </wp:inline>
        </w:drawing>
      </w:r>
    </w:p>
    <w:p w14:paraId="5D253CA4" w14:textId="18F0109F" w:rsidR="00924E0F" w:rsidRPr="000B1EEA" w:rsidRDefault="00924E0F" w:rsidP="002F2A9B">
      <w:pPr>
        <w:numPr>
          <w:ilvl w:val="0"/>
          <w:numId w:val="4"/>
        </w:numPr>
        <w:rPr>
          <w:color w:val="FF0000"/>
          <w:szCs w:val="24"/>
        </w:rPr>
      </w:pPr>
      <w:r w:rsidRPr="000B1EEA">
        <w:rPr>
          <w:rFonts w:hint="eastAsia"/>
          <w:color w:val="FF0000"/>
          <w:szCs w:val="24"/>
        </w:rPr>
        <w:t>期貨契約種類</w:t>
      </w:r>
      <w:r w:rsidRPr="000B1EEA">
        <w:rPr>
          <w:rFonts w:hint="eastAsia"/>
          <w:color w:val="FF0000"/>
          <w:szCs w:val="24"/>
        </w:rPr>
        <w:t>:</w:t>
      </w:r>
      <w:r w:rsidRPr="000B1EEA">
        <w:rPr>
          <w:rFonts w:hint="eastAsia"/>
          <w:color w:val="FF0000"/>
          <w:szCs w:val="24"/>
        </w:rPr>
        <w:t>金融期貨</w:t>
      </w:r>
      <w:r w:rsidRPr="000B1EEA">
        <w:rPr>
          <w:rFonts w:hint="eastAsia"/>
          <w:color w:val="FF0000"/>
          <w:szCs w:val="24"/>
        </w:rPr>
        <w:t>(Financial Futures)</w:t>
      </w:r>
    </w:p>
    <w:p w14:paraId="273DFDF7" w14:textId="0306639E" w:rsidR="005C2637" w:rsidRPr="000B1EEA" w:rsidRDefault="004C4E6E" w:rsidP="004C4E6E">
      <w:pPr>
        <w:rPr>
          <w:szCs w:val="24"/>
        </w:rPr>
      </w:pPr>
      <w:r w:rsidRPr="000B1EEA">
        <w:rPr>
          <w:rFonts w:hint="eastAsia"/>
          <w:szCs w:val="24"/>
        </w:rPr>
        <w:t>定義</w:t>
      </w:r>
      <w:r w:rsidRPr="000B1EEA">
        <w:rPr>
          <w:rFonts w:hint="eastAsia"/>
          <w:szCs w:val="24"/>
        </w:rPr>
        <w:t>:</w:t>
      </w:r>
      <w:r w:rsidRPr="000B1EEA">
        <w:rPr>
          <w:rFonts w:hint="eastAsia"/>
          <w:szCs w:val="24"/>
        </w:rPr>
        <w:t>期貨交易的標的物是金融工具，如外匯、債券、股價指數期貨，流動性高，無儲存成本。</w:t>
      </w:r>
      <w:r w:rsidR="004C4FD6" w:rsidRPr="000B1EEA">
        <w:rPr>
          <w:rFonts w:hint="eastAsia"/>
          <w:szCs w:val="24"/>
        </w:rPr>
        <w:t>金融期貨主要有利率期貨、外匯期貨、股價指數期貨三種</w:t>
      </w:r>
      <w:r w:rsidR="005C2637" w:rsidRPr="000B1EEA">
        <w:rPr>
          <w:rFonts w:hint="eastAsia"/>
          <w:szCs w:val="24"/>
        </w:rPr>
        <w:t>。利率期貨的出現，可以使利率風險獲得有效的管理，特別是因持有債券而產生的利率風險。依標的物種類，利率期貨可分為短期利率期貨與中長期利率期貨。在國外，以歐洲美元與美國國庫券等短期利率期貨的交易最為活絡。而中、長期利率期貨，則以美國中期公債及長期公債期貨標的交易較為活絡。外匯期貨在</w:t>
      </w:r>
      <w:r w:rsidR="005C2637" w:rsidRPr="000B1EEA">
        <w:rPr>
          <w:rFonts w:hint="eastAsia"/>
          <w:szCs w:val="24"/>
        </w:rPr>
        <w:t>1972</w:t>
      </w:r>
      <w:r w:rsidR="005C2637" w:rsidRPr="000B1EEA">
        <w:rPr>
          <w:rFonts w:hint="eastAsia"/>
          <w:szCs w:val="24"/>
        </w:rPr>
        <w:t>年由芝加哥商業交易所</w:t>
      </w:r>
      <w:r w:rsidR="005C2637" w:rsidRPr="000B1EEA">
        <w:rPr>
          <w:rFonts w:hint="eastAsia"/>
          <w:szCs w:val="24"/>
        </w:rPr>
        <w:t>(</w:t>
      </w:r>
      <w:r w:rsidR="005C2637" w:rsidRPr="000B1EEA">
        <w:rPr>
          <w:szCs w:val="24"/>
        </w:rPr>
        <w:t>CME)</w:t>
      </w:r>
      <w:r w:rsidR="005C2637" w:rsidRPr="000B1EEA">
        <w:rPr>
          <w:rFonts w:hint="eastAsia"/>
          <w:szCs w:val="24"/>
        </w:rPr>
        <w:t>推出。在外匯期貨尚未出現前，外匯市場即存在即期外匯市場與遠期外匯市場。即期外匯市場是在銀行掛牌交易，其主要交易者為小額外幣需求的個人或企業</w:t>
      </w:r>
      <w:r w:rsidR="00D51088" w:rsidRPr="000B1EEA">
        <w:rPr>
          <w:rFonts w:hint="eastAsia"/>
          <w:szCs w:val="24"/>
        </w:rPr>
        <w:t>；而遠期外匯市場則是在各大銀行以電話交易的市場，沒有集中市場，契約內容由交易雙方協議。</w:t>
      </w:r>
    </w:p>
    <w:p w14:paraId="7DB041D2" w14:textId="626EB4D5" w:rsidR="004C4E6E" w:rsidRPr="000B1EEA" w:rsidRDefault="004C4E6E" w:rsidP="002F2A9B">
      <w:pPr>
        <w:numPr>
          <w:ilvl w:val="0"/>
          <w:numId w:val="5"/>
        </w:numPr>
        <w:rPr>
          <w:szCs w:val="24"/>
        </w:rPr>
      </w:pPr>
      <w:r w:rsidRPr="000B1EEA">
        <w:rPr>
          <w:rFonts w:hint="eastAsia"/>
          <w:szCs w:val="24"/>
        </w:rPr>
        <w:t>利率期貨</w:t>
      </w:r>
      <w:r w:rsidRPr="000B1EEA">
        <w:rPr>
          <w:rFonts w:hint="eastAsia"/>
          <w:szCs w:val="24"/>
        </w:rPr>
        <w:t>(Interest Rate Futures)</w:t>
      </w:r>
      <w:r w:rsidRPr="000B1EEA">
        <w:rPr>
          <w:rFonts w:hint="eastAsia"/>
          <w:szCs w:val="24"/>
        </w:rPr>
        <w:t>：以某特定利率在市場上買賣利率商品</w:t>
      </w:r>
    </w:p>
    <w:p w14:paraId="60DC1227" w14:textId="77777777" w:rsidR="004C4E6E" w:rsidRPr="000B1EEA" w:rsidRDefault="004C4E6E" w:rsidP="002F2A9B">
      <w:pPr>
        <w:numPr>
          <w:ilvl w:val="0"/>
          <w:numId w:val="5"/>
        </w:numPr>
        <w:rPr>
          <w:szCs w:val="24"/>
        </w:rPr>
      </w:pPr>
      <w:r w:rsidRPr="000B1EEA">
        <w:rPr>
          <w:rFonts w:hint="eastAsia"/>
          <w:szCs w:val="24"/>
        </w:rPr>
        <w:t>短期利率期貨：以歐洲美元期貨與美國國庫券</w:t>
      </w:r>
      <w:r w:rsidRPr="000B1EEA">
        <w:rPr>
          <w:rFonts w:hint="eastAsia"/>
          <w:szCs w:val="24"/>
        </w:rPr>
        <w:t>(T-Bill)</w:t>
      </w:r>
    </w:p>
    <w:p w14:paraId="75B1406D" w14:textId="23E9D8E4" w:rsidR="004C4E6E" w:rsidRPr="000B1EEA" w:rsidRDefault="004C4E6E" w:rsidP="002F2A9B">
      <w:pPr>
        <w:numPr>
          <w:ilvl w:val="0"/>
          <w:numId w:val="5"/>
        </w:numPr>
        <w:rPr>
          <w:szCs w:val="24"/>
        </w:rPr>
      </w:pPr>
      <w:r w:rsidRPr="000B1EEA">
        <w:rPr>
          <w:rFonts w:hint="eastAsia"/>
          <w:szCs w:val="24"/>
        </w:rPr>
        <w:t>長期利率期貨：以美國</w:t>
      </w:r>
      <w:r w:rsidR="005C2637" w:rsidRPr="000B1EEA">
        <w:rPr>
          <w:rFonts w:hint="eastAsia"/>
          <w:szCs w:val="24"/>
        </w:rPr>
        <w:t>中</w:t>
      </w:r>
      <w:r w:rsidRPr="000B1EEA">
        <w:rPr>
          <w:rFonts w:hint="eastAsia"/>
          <w:szCs w:val="24"/>
        </w:rPr>
        <w:t>期公債</w:t>
      </w:r>
      <w:r w:rsidRPr="000B1EEA">
        <w:rPr>
          <w:rFonts w:hint="eastAsia"/>
          <w:szCs w:val="24"/>
        </w:rPr>
        <w:t>(T-Note)</w:t>
      </w:r>
      <w:r w:rsidRPr="000B1EEA">
        <w:rPr>
          <w:rFonts w:hint="eastAsia"/>
          <w:szCs w:val="24"/>
        </w:rPr>
        <w:t>期貨及長期公債</w:t>
      </w:r>
      <w:r w:rsidRPr="000B1EEA">
        <w:rPr>
          <w:rFonts w:hint="eastAsia"/>
          <w:szCs w:val="24"/>
        </w:rPr>
        <w:t>(T-Bobd)</w:t>
      </w:r>
      <w:r w:rsidRPr="000B1EEA">
        <w:rPr>
          <w:rFonts w:hint="eastAsia"/>
          <w:szCs w:val="24"/>
        </w:rPr>
        <w:t>期貨為大宗</w:t>
      </w:r>
    </w:p>
    <w:p w14:paraId="06F371F9" w14:textId="695E1B79" w:rsidR="00BA2909" w:rsidRPr="000B1EEA" w:rsidRDefault="00BA2909" w:rsidP="002F2A9B">
      <w:pPr>
        <w:numPr>
          <w:ilvl w:val="0"/>
          <w:numId w:val="5"/>
        </w:numPr>
        <w:rPr>
          <w:szCs w:val="24"/>
        </w:rPr>
      </w:pPr>
      <w:r w:rsidRPr="000B1EEA">
        <w:rPr>
          <w:rFonts w:hint="eastAsia"/>
          <w:szCs w:val="24"/>
        </w:rPr>
        <w:t>外匯期貨</w:t>
      </w:r>
      <w:r w:rsidRPr="000B1EEA">
        <w:rPr>
          <w:rFonts w:hint="eastAsia"/>
          <w:szCs w:val="24"/>
        </w:rPr>
        <w:t>(Foreign Exchange Futures):</w:t>
      </w:r>
      <w:r w:rsidRPr="000B1EEA">
        <w:rPr>
          <w:rFonts w:hint="eastAsia"/>
          <w:szCs w:val="24"/>
        </w:rPr>
        <w:t>約定以彼此同意的匯率，用約定的某通貨交換另一種通貨。</w:t>
      </w:r>
      <w:r w:rsidRPr="000B1EEA">
        <w:rPr>
          <w:rFonts w:hint="eastAsia"/>
          <w:szCs w:val="24"/>
        </w:rPr>
        <w:t>ex</w:t>
      </w:r>
      <w:r w:rsidRPr="000B1EEA">
        <w:rPr>
          <w:rFonts w:hint="eastAsia"/>
          <w:szCs w:val="24"/>
        </w:rPr>
        <w:t>美元歐元日圓</w:t>
      </w:r>
    </w:p>
    <w:p w14:paraId="341E857B" w14:textId="1802638D" w:rsidR="00BA2909" w:rsidRPr="000B1EEA" w:rsidRDefault="00BA2909" w:rsidP="002F2A9B">
      <w:pPr>
        <w:numPr>
          <w:ilvl w:val="0"/>
          <w:numId w:val="6"/>
        </w:numPr>
        <w:rPr>
          <w:szCs w:val="24"/>
        </w:rPr>
      </w:pPr>
      <w:r w:rsidRPr="000B1EEA">
        <w:rPr>
          <w:rFonts w:hint="eastAsia"/>
          <w:szCs w:val="24"/>
        </w:rPr>
        <w:t xml:space="preserve"> </w:t>
      </w:r>
      <w:r w:rsidRPr="000B1EEA">
        <w:rPr>
          <w:rFonts w:hint="eastAsia"/>
          <w:szCs w:val="24"/>
        </w:rPr>
        <w:t>股價指數期貨</w:t>
      </w:r>
      <w:r w:rsidRPr="000B1EEA">
        <w:rPr>
          <w:rFonts w:hint="eastAsia"/>
          <w:szCs w:val="24"/>
        </w:rPr>
        <w:t>(Stock Index Futures)</w:t>
      </w:r>
    </w:p>
    <w:p w14:paraId="7C50FAA5" w14:textId="0221BC38" w:rsidR="00BA2909" w:rsidRPr="000B1EEA" w:rsidRDefault="00BA2909" w:rsidP="00BA2909">
      <w:pPr>
        <w:ind w:left="360"/>
        <w:rPr>
          <w:szCs w:val="24"/>
        </w:rPr>
      </w:pPr>
      <w:r w:rsidRPr="000B1EEA">
        <w:rPr>
          <w:rFonts w:hint="eastAsia"/>
          <w:szCs w:val="24"/>
        </w:rPr>
        <w:t>1.</w:t>
      </w:r>
      <w:r w:rsidRPr="000B1EEA">
        <w:rPr>
          <w:rFonts w:hint="eastAsia"/>
          <w:szCs w:val="24"/>
        </w:rPr>
        <w:t>雙方訂在未來某一期間依彼此同意的價格買進或賣出以股價指數標的之金融期貨</w:t>
      </w:r>
    </w:p>
    <w:p w14:paraId="49AC907D" w14:textId="6ABF0A04" w:rsidR="00BA2909" w:rsidRPr="000B1EEA" w:rsidRDefault="00BA2909" w:rsidP="00BA2909">
      <w:pPr>
        <w:ind w:left="360"/>
        <w:rPr>
          <w:szCs w:val="24"/>
        </w:rPr>
      </w:pPr>
      <w:r w:rsidRPr="000B1EEA">
        <w:rPr>
          <w:rFonts w:hint="eastAsia"/>
          <w:szCs w:val="24"/>
        </w:rPr>
        <w:t>2.</w:t>
      </w:r>
      <w:r w:rsidRPr="000B1EEA">
        <w:rPr>
          <w:rFonts w:hint="eastAsia"/>
          <w:szCs w:val="24"/>
        </w:rPr>
        <w:t>通常以現金交割。</w:t>
      </w:r>
    </w:p>
    <w:p w14:paraId="7C2FF1AF" w14:textId="3F0BC8CE" w:rsidR="00BA2909" w:rsidRPr="000B1EEA" w:rsidRDefault="00BA2909" w:rsidP="00BA2909">
      <w:pPr>
        <w:ind w:left="360"/>
        <w:rPr>
          <w:szCs w:val="24"/>
        </w:rPr>
      </w:pPr>
      <w:r w:rsidRPr="000B1EEA">
        <w:rPr>
          <w:rFonts w:hint="eastAsia"/>
          <w:szCs w:val="24"/>
        </w:rPr>
        <w:t>3.</w:t>
      </w:r>
      <w:r w:rsidRPr="000B1EEA">
        <w:rPr>
          <w:rFonts w:hint="eastAsia"/>
          <w:szCs w:val="24"/>
        </w:rPr>
        <w:t>價格比利率期貨難決定，因為股價指數組合之價格會受股票支付股利影響，</w:t>
      </w:r>
      <w:r w:rsidRPr="000B1EEA">
        <w:rPr>
          <w:rFonts w:hint="eastAsia"/>
          <w:szCs w:val="24"/>
        </w:rPr>
        <w:lastRenderedPageBreak/>
        <w:t>但指數組合並不會收到股利。</w:t>
      </w:r>
    </w:p>
    <w:p w14:paraId="5657C474" w14:textId="62B67937" w:rsidR="00BA2909" w:rsidRPr="000B1EEA" w:rsidRDefault="00BA2909" w:rsidP="00BA2909">
      <w:pPr>
        <w:ind w:left="360"/>
        <w:rPr>
          <w:szCs w:val="24"/>
        </w:rPr>
      </w:pPr>
      <w:r w:rsidRPr="000B1EEA">
        <w:rPr>
          <w:rFonts w:hint="eastAsia"/>
          <w:szCs w:val="24"/>
        </w:rPr>
        <w:t>4.</w:t>
      </w:r>
      <w:r w:rsidRPr="000B1EEA">
        <w:rPr>
          <w:rFonts w:hint="eastAsia"/>
          <w:szCs w:val="24"/>
        </w:rPr>
        <w:t>因此股價指數期貨之價格須扣除期貨到期前預期股利現值</w:t>
      </w:r>
    </w:p>
    <w:p w14:paraId="001875FA" w14:textId="77777777" w:rsidR="00BA2909" w:rsidRPr="000B1EEA" w:rsidRDefault="00BA2909" w:rsidP="00BA2909">
      <w:pPr>
        <w:ind w:left="360"/>
        <w:rPr>
          <w:szCs w:val="24"/>
        </w:rPr>
      </w:pPr>
      <w:r w:rsidRPr="000B1EEA">
        <w:rPr>
          <w:rFonts w:hint="eastAsia"/>
          <w:szCs w:val="24"/>
        </w:rPr>
        <w:t>EX</w:t>
      </w:r>
      <w:r w:rsidRPr="000B1EEA">
        <w:rPr>
          <w:rFonts w:hint="eastAsia"/>
          <w:szCs w:val="24"/>
        </w:rPr>
        <w:t>、台灣股價指數期貨</w:t>
      </w:r>
    </w:p>
    <w:p w14:paraId="4572B782" w14:textId="68060850" w:rsidR="00BA2909" w:rsidRPr="000B1EEA" w:rsidRDefault="00BA2909" w:rsidP="00BA2909">
      <w:pPr>
        <w:ind w:left="360"/>
        <w:rPr>
          <w:color w:val="ED7D31" w:themeColor="accent2"/>
          <w:szCs w:val="24"/>
        </w:rPr>
      </w:pPr>
      <w:r w:rsidRPr="000B1EEA">
        <w:rPr>
          <w:rFonts w:hint="eastAsia"/>
          <w:szCs w:val="24"/>
        </w:rPr>
        <w:t>(</w:t>
      </w:r>
      <w:r w:rsidRPr="000B1EEA">
        <w:rPr>
          <w:rFonts w:hint="eastAsia"/>
          <w:szCs w:val="24"/>
        </w:rPr>
        <w:t>註</w:t>
      </w:r>
      <w:r w:rsidRPr="000B1EEA">
        <w:rPr>
          <w:rFonts w:hint="eastAsia"/>
          <w:szCs w:val="24"/>
        </w:rPr>
        <w:t>)</w:t>
      </w:r>
      <w:r w:rsidRPr="000B1EEA">
        <w:rPr>
          <w:rFonts w:hint="eastAsia"/>
          <w:szCs w:val="24"/>
        </w:rPr>
        <w:t>須每日進行結算，交易人帳戶保證金淨額必須高於</w:t>
      </w:r>
      <w:r w:rsidRPr="000B1EEA">
        <w:rPr>
          <w:rFonts w:hint="eastAsia"/>
          <w:color w:val="ED7D31" w:themeColor="accent2"/>
          <w:szCs w:val="24"/>
        </w:rPr>
        <w:t>維持保證金。</w:t>
      </w:r>
    </w:p>
    <w:p w14:paraId="4A79E0EB" w14:textId="729018C6" w:rsidR="00BA2909" w:rsidRPr="000B1EEA" w:rsidRDefault="00551BFA" w:rsidP="00BA2909">
      <w:pPr>
        <w:ind w:left="360"/>
        <w:rPr>
          <w:rFonts w:ascii="微軟正黑體" w:eastAsia="微軟正黑體" w:hAnsi="微軟正黑體"/>
          <w:color w:val="000000"/>
          <w:szCs w:val="24"/>
          <w:shd w:val="clear" w:color="auto" w:fill="FFFFFF"/>
        </w:rPr>
      </w:pPr>
      <w:r w:rsidRPr="000B1EEA">
        <w:rPr>
          <w:rFonts w:hint="eastAsia"/>
          <w:szCs w:val="24"/>
        </w:rPr>
        <w:t>(</w:t>
      </w:r>
      <w:r w:rsidR="00BA2909" w:rsidRPr="000B1EEA">
        <w:rPr>
          <w:rFonts w:hint="eastAsia"/>
          <w:szCs w:val="24"/>
        </w:rPr>
        <w:t xml:space="preserve">    )</w:t>
      </w:r>
      <w:r w:rsidR="00996EFE" w:rsidRPr="000B1EEA">
        <w:rPr>
          <w:rFonts w:hint="eastAsia"/>
          <w:szCs w:val="24"/>
        </w:rPr>
        <w:t xml:space="preserve"> </w:t>
      </w:r>
      <w:r w:rsidR="00996EFE" w:rsidRPr="000B1EEA">
        <w:rPr>
          <w:rFonts w:hint="eastAsia"/>
          <w:szCs w:val="24"/>
        </w:rPr>
        <w:t>牛刀小試</w:t>
      </w:r>
      <w:r w:rsidR="00996EFE" w:rsidRPr="000B1EEA">
        <w:rPr>
          <w:szCs w:val="24"/>
        </w:rPr>
        <w:t>5:</w:t>
      </w:r>
      <w:r w:rsidR="00BA2909" w:rsidRPr="000B1EEA">
        <w:rPr>
          <w:rFonts w:ascii="微軟正黑體" w:eastAsia="微軟正黑體" w:hAnsi="微軟正黑體" w:hint="eastAsia"/>
          <w:color w:val="000000"/>
          <w:szCs w:val="24"/>
          <w:shd w:val="clear" w:color="auto" w:fill="FFFFFF"/>
        </w:rPr>
        <w:t>衍生性金融商品依契約區分的基本類型契約，不包括下列何者？</w:t>
      </w:r>
    </w:p>
    <w:p w14:paraId="503625C6" w14:textId="0DDE9FE2" w:rsidR="00BA2909" w:rsidRPr="000B1EEA" w:rsidRDefault="00BA2909" w:rsidP="002F2A9B">
      <w:pPr>
        <w:pStyle w:val="a3"/>
        <w:numPr>
          <w:ilvl w:val="0"/>
          <w:numId w:val="7"/>
        </w:numPr>
        <w:ind w:leftChars="0"/>
        <w:rPr>
          <w:rFonts w:ascii="微軟正黑體" w:eastAsia="微軟正黑體" w:hAnsi="微軟正黑體"/>
          <w:color w:val="000000"/>
          <w:shd w:val="clear" w:color="auto" w:fill="FFFFFF"/>
        </w:rPr>
      </w:pPr>
      <w:r w:rsidRPr="000B1EEA">
        <w:rPr>
          <w:rFonts w:ascii="微軟正黑體" w:eastAsia="微軟正黑體" w:hAnsi="微軟正黑體" w:hint="eastAsia"/>
          <w:color w:val="000000"/>
          <w:shd w:val="clear" w:color="auto" w:fill="FFFFFF"/>
        </w:rPr>
        <w:t>股票契約 (B)金融期貨 (C)遠期契約 (D)交換契約</w:t>
      </w:r>
    </w:p>
    <w:p w14:paraId="47832992" w14:textId="39810B94" w:rsidR="00BA2909" w:rsidRPr="000B1EEA" w:rsidRDefault="00551BFA" w:rsidP="00BA2909">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xml:space="preserve">  </w:t>
      </w:r>
      <w:r w:rsidR="00BA2909" w:rsidRPr="000B1EEA">
        <w:rPr>
          <w:rFonts w:ascii="微軟正黑體" w:eastAsia="微軟正黑體" w:hAnsi="微軟正黑體" w:hint="eastAsia"/>
          <w:color w:val="000000"/>
          <w:szCs w:val="24"/>
          <w:shd w:val="clear" w:color="auto" w:fill="FFFFFF"/>
        </w:rPr>
        <w:t>(    )</w:t>
      </w:r>
      <w:r w:rsidR="00996EFE" w:rsidRPr="000B1EEA">
        <w:rPr>
          <w:rFonts w:hint="eastAsia"/>
          <w:szCs w:val="24"/>
        </w:rPr>
        <w:t xml:space="preserve"> </w:t>
      </w:r>
      <w:r w:rsidR="00996EFE" w:rsidRPr="000B1EEA">
        <w:rPr>
          <w:rFonts w:hint="eastAsia"/>
          <w:szCs w:val="24"/>
        </w:rPr>
        <w:t>牛刀小試</w:t>
      </w:r>
      <w:r w:rsidR="00996EFE" w:rsidRPr="000B1EEA">
        <w:rPr>
          <w:szCs w:val="24"/>
        </w:rPr>
        <w:t>6:</w:t>
      </w:r>
      <w:r w:rsidR="00BA2909" w:rsidRPr="000B1EEA">
        <w:rPr>
          <w:rFonts w:ascii="微軟正黑體" w:eastAsia="微軟正黑體" w:hAnsi="微軟正黑體" w:hint="eastAsia"/>
          <w:color w:val="000000"/>
          <w:szCs w:val="24"/>
          <w:shd w:val="clear" w:color="auto" w:fill="FFFFFF"/>
        </w:rPr>
        <w:t>交易雙方就持有的資產所產生的利率進行交換，係屬於何種交換？ </w:t>
      </w:r>
    </w:p>
    <w:p w14:paraId="14BC2739" w14:textId="28257B7D" w:rsidR="00BA2909" w:rsidRPr="000B1EEA" w:rsidRDefault="00BA2909" w:rsidP="00BA2909">
      <w:pPr>
        <w:rPr>
          <w:szCs w:val="24"/>
        </w:rPr>
      </w:pPr>
      <w:r w:rsidRPr="000B1EEA">
        <w:rPr>
          <w:rFonts w:ascii="微軟正黑體" w:eastAsia="微軟正黑體" w:hAnsi="微軟正黑體" w:hint="eastAsia"/>
          <w:color w:val="000000"/>
          <w:szCs w:val="24"/>
          <w:shd w:val="clear" w:color="auto" w:fill="FFFFFF"/>
        </w:rPr>
        <w:t>(A)利率交換 (B)資產交換 (C)貨幣交換 (D)總報酬交換</w:t>
      </w:r>
    </w:p>
    <w:p w14:paraId="6D1141C8" w14:textId="749AB260" w:rsidR="00BA2909" w:rsidRPr="000B1EEA" w:rsidRDefault="00551BFA" w:rsidP="00996EFE">
      <w:pPr>
        <w:ind w:firstLineChars="100" w:firstLine="240"/>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w:t>
      </w:r>
      <w:r w:rsidR="00996EFE" w:rsidRPr="000B1EEA">
        <w:rPr>
          <w:rFonts w:hint="eastAsia"/>
          <w:szCs w:val="24"/>
        </w:rPr>
        <w:t xml:space="preserve"> </w:t>
      </w:r>
      <w:r w:rsidR="00996EFE" w:rsidRPr="000B1EEA">
        <w:rPr>
          <w:rFonts w:hint="eastAsia"/>
          <w:szCs w:val="24"/>
        </w:rPr>
        <w:t>牛刀小試</w:t>
      </w:r>
      <w:r w:rsidR="00996EFE" w:rsidRPr="000B1EEA">
        <w:rPr>
          <w:szCs w:val="24"/>
        </w:rPr>
        <w:t>7</w:t>
      </w:r>
      <w:r w:rsidRPr="000B1EEA">
        <w:rPr>
          <w:rFonts w:ascii="微軟正黑體" w:eastAsia="微軟正黑體" w:hAnsi="微軟正黑體" w:hint="eastAsia"/>
          <w:color w:val="000000"/>
          <w:szCs w:val="24"/>
          <w:shd w:val="clear" w:color="auto" w:fill="FFFFFF"/>
        </w:rPr>
        <w:t>有關金融期貨與遠期契約之差異，下列敘述何者錯誤？</w:t>
      </w:r>
    </w:p>
    <w:p w14:paraId="43F29C95" w14:textId="2C9E66F0" w:rsidR="0045470A" w:rsidRPr="000B1EEA" w:rsidRDefault="0045470A" w:rsidP="002F2A9B">
      <w:pPr>
        <w:pStyle w:val="a3"/>
        <w:numPr>
          <w:ilvl w:val="0"/>
          <w:numId w:val="8"/>
        </w:numPr>
        <w:ind w:leftChars="0"/>
        <w:rPr>
          <w:rFonts w:ascii="微軟正黑體" w:eastAsia="微軟正黑體" w:hAnsi="微軟正黑體"/>
          <w:color w:val="000000"/>
          <w:shd w:val="clear" w:color="auto" w:fill="FFFFFF"/>
        </w:rPr>
      </w:pPr>
      <w:r w:rsidRPr="000B1EEA">
        <w:rPr>
          <w:rFonts w:ascii="微軟正黑體" w:eastAsia="微軟正黑體" w:hAnsi="微軟正黑體" w:hint="eastAsia"/>
          <w:color w:val="000000"/>
          <w:shd w:val="clear" w:color="auto" w:fill="FFFFFF"/>
        </w:rPr>
        <w:t>信用風險：前者由清算所負擔，後者由買賣雙方負擔(B)交割方式：前者為到期前反向平倉，後者為到期時實質交割 (C)交易地點：前者為交易所，後者為店頭市場 (D)價格形成：前者為議價，後者為競價 </w:t>
      </w:r>
    </w:p>
    <w:p w14:paraId="1D95103A" w14:textId="48E81E70" w:rsidR="0045470A" w:rsidRPr="000B1EEA" w:rsidRDefault="0046283E" w:rsidP="0045470A">
      <w:pPr>
        <w:rPr>
          <w:rFonts w:ascii="Verdana" w:hAnsi="Verdana"/>
          <w:spacing w:val="20"/>
          <w:szCs w:val="24"/>
          <w:shd w:val="clear" w:color="auto" w:fill="FFFFFF"/>
        </w:rPr>
      </w:pPr>
      <w:r w:rsidRPr="000B1EEA">
        <w:rPr>
          <w:rFonts w:ascii="Verdana" w:hAnsi="Verdana" w:hint="eastAsia"/>
          <w:spacing w:val="20"/>
          <w:szCs w:val="24"/>
          <w:shd w:val="clear" w:color="auto" w:fill="FFFFFF"/>
        </w:rPr>
        <w:t>補充</w:t>
      </w:r>
      <w:r w:rsidRPr="000B1EEA">
        <w:rPr>
          <w:rFonts w:ascii="Verdana" w:hAnsi="Verdana" w:hint="eastAsia"/>
          <w:spacing w:val="20"/>
          <w:szCs w:val="24"/>
          <w:shd w:val="clear" w:color="auto" w:fill="FFFFFF"/>
        </w:rPr>
        <w:t>:</w:t>
      </w:r>
      <w:hyperlink r:id="rId13" w:tgtFrame="_blank" w:history="1">
        <w:r w:rsidR="0045470A" w:rsidRPr="000B1EEA">
          <w:rPr>
            <w:rStyle w:val="a4"/>
            <w:rFonts w:ascii="Verdana" w:hAnsi="Verdana"/>
            <w:color w:val="auto"/>
            <w:spacing w:val="20"/>
            <w:szCs w:val="24"/>
            <w:shd w:val="clear" w:color="auto" w:fill="FFFFFF"/>
          </w:rPr>
          <w:t>基差</w:t>
        </w:r>
      </w:hyperlink>
      <w:r w:rsidR="0045470A" w:rsidRPr="000B1EEA">
        <w:rPr>
          <w:rFonts w:ascii="Verdana" w:hAnsi="Verdana"/>
          <w:spacing w:val="20"/>
          <w:szCs w:val="24"/>
          <w:shd w:val="clear" w:color="auto" w:fill="FFFFFF"/>
        </w:rPr>
        <w:t>（</w:t>
      </w:r>
      <w:r w:rsidR="0045470A" w:rsidRPr="000B1EEA">
        <w:rPr>
          <w:rFonts w:ascii="Verdana" w:hAnsi="Verdana"/>
          <w:spacing w:val="20"/>
          <w:szCs w:val="24"/>
          <w:shd w:val="clear" w:color="auto" w:fill="FFFFFF"/>
        </w:rPr>
        <w:t>Basis</w:t>
      </w:r>
      <w:r w:rsidR="0045470A" w:rsidRPr="000B1EEA">
        <w:rPr>
          <w:rFonts w:ascii="Verdana" w:hAnsi="Verdana"/>
          <w:spacing w:val="20"/>
          <w:szCs w:val="24"/>
          <w:shd w:val="clear" w:color="auto" w:fill="FFFFFF"/>
        </w:rPr>
        <w:t>）</w:t>
      </w:r>
      <w:r w:rsidR="0045470A" w:rsidRPr="000B1EEA">
        <w:rPr>
          <w:rFonts w:ascii="Verdana" w:hAnsi="Verdana"/>
          <w:spacing w:val="20"/>
          <w:szCs w:val="24"/>
        </w:rPr>
        <w:br/>
      </w:r>
      <w:r w:rsidR="0045470A" w:rsidRPr="000B1EEA">
        <w:rPr>
          <w:rFonts w:ascii="Verdana" w:hAnsi="Verdana"/>
          <w:spacing w:val="20"/>
          <w:szCs w:val="24"/>
          <w:shd w:val="clear" w:color="auto" w:fill="FFFFFF"/>
        </w:rPr>
        <w:t>係指現貨價格與</w:t>
      </w:r>
      <w:hyperlink r:id="rId14" w:tgtFrame="_blank" w:history="1">
        <w:r w:rsidR="0045470A" w:rsidRPr="000B1EEA">
          <w:rPr>
            <w:rStyle w:val="a4"/>
            <w:rFonts w:ascii="Verdana" w:hAnsi="Verdana"/>
            <w:color w:val="auto"/>
            <w:spacing w:val="20"/>
            <w:szCs w:val="24"/>
            <w:shd w:val="clear" w:color="auto" w:fill="FFFFFF"/>
          </w:rPr>
          <w:t>期貨</w:t>
        </w:r>
      </w:hyperlink>
      <w:r w:rsidR="0045470A" w:rsidRPr="000B1EEA">
        <w:rPr>
          <w:rFonts w:ascii="Verdana" w:hAnsi="Verdana"/>
          <w:spacing w:val="20"/>
          <w:szCs w:val="24"/>
          <w:shd w:val="clear" w:color="auto" w:fill="FFFFFF"/>
        </w:rPr>
        <w:t>價格之間的差額，計算公式：基差＝現貨價格－期貨價格。</w:t>
      </w:r>
      <w:r w:rsidR="0045470A" w:rsidRPr="000B1EEA">
        <w:rPr>
          <w:rFonts w:ascii="Verdana" w:hAnsi="Verdana"/>
          <w:spacing w:val="20"/>
          <w:szCs w:val="24"/>
        </w:rPr>
        <w:br/>
      </w:r>
      <w:r w:rsidR="0045470A" w:rsidRPr="000B1EEA">
        <w:rPr>
          <w:rFonts w:ascii="Verdana" w:hAnsi="Verdana"/>
          <w:spacing w:val="20"/>
          <w:szCs w:val="24"/>
          <w:shd w:val="clear" w:color="auto" w:fill="FFFFFF"/>
        </w:rPr>
        <w:t>基差配合市場氣氛與量價變化，可以幫助我們解讀市場，做為交易的輔助工具。</w:t>
      </w:r>
      <w:r w:rsidR="0045470A" w:rsidRPr="000B1EEA">
        <w:rPr>
          <w:rFonts w:ascii="Verdana" w:hAnsi="Verdana"/>
          <w:spacing w:val="20"/>
          <w:szCs w:val="24"/>
        </w:rPr>
        <w:br/>
      </w:r>
      <w:r w:rsidR="0045470A" w:rsidRPr="000B1EEA">
        <w:rPr>
          <w:rFonts w:ascii="Verdana" w:hAnsi="Verdana"/>
          <w:spacing w:val="20"/>
          <w:szCs w:val="24"/>
          <w:shd w:val="clear" w:color="auto" w:fill="FFFFFF"/>
        </w:rPr>
        <w:t>在「正常市場」（</w:t>
      </w:r>
      <w:r w:rsidR="0045470A" w:rsidRPr="000B1EEA">
        <w:rPr>
          <w:rFonts w:ascii="Verdana" w:hAnsi="Verdana"/>
          <w:spacing w:val="20"/>
          <w:szCs w:val="24"/>
          <w:shd w:val="clear" w:color="auto" w:fill="FFFFFF"/>
        </w:rPr>
        <w:t>Normal Market / Contango Market</w:t>
      </w:r>
      <w:r w:rsidR="0045470A" w:rsidRPr="000B1EEA">
        <w:rPr>
          <w:rFonts w:ascii="Verdana" w:hAnsi="Verdana"/>
          <w:spacing w:val="20"/>
          <w:szCs w:val="24"/>
          <w:shd w:val="clear" w:color="auto" w:fill="FFFFFF"/>
        </w:rPr>
        <w:t>）中，基差為負值，即期貨價格高於現貨價格。由於在正常情形下，期貨價格包含了儲存、保存、持有和利息等成本。因此，期貨價格高於現貨價格為正常市場下所發生的情形。</w:t>
      </w:r>
      <w:r w:rsidR="0045470A" w:rsidRPr="000B1EEA">
        <w:rPr>
          <w:rFonts w:ascii="Verdana" w:hAnsi="Verdana"/>
          <w:spacing w:val="20"/>
          <w:szCs w:val="24"/>
        </w:rPr>
        <w:br/>
      </w:r>
      <w:r w:rsidR="0045470A" w:rsidRPr="000B1EEA">
        <w:rPr>
          <w:rFonts w:ascii="Verdana" w:hAnsi="Verdana"/>
          <w:spacing w:val="20"/>
          <w:szCs w:val="24"/>
          <w:shd w:val="clear" w:color="auto" w:fill="FFFFFF"/>
        </w:rPr>
        <w:t>在「逆價市場」（</w:t>
      </w:r>
      <w:r w:rsidR="0045470A" w:rsidRPr="000B1EEA">
        <w:rPr>
          <w:rFonts w:ascii="Verdana" w:hAnsi="Verdana"/>
          <w:spacing w:val="20"/>
          <w:szCs w:val="24"/>
          <w:shd w:val="clear" w:color="auto" w:fill="FFFFFF"/>
        </w:rPr>
        <w:t>Inverted Market / Backwardation Market</w:t>
      </w:r>
      <w:r w:rsidR="0045470A" w:rsidRPr="000B1EEA">
        <w:rPr>
          <w:rFonts w:ascii="Verdana" w:hAnsi="Verdana"/>
          <w:spacing w:val="20"/>
          <w:szCs w:val="24"/>
          <w:shd w:val="clear" w:color="auto" w:fill="FFFFFF"/>
        </w:rPr>
        <w:t>）中，係指當供給嚴重不足之下，可能會出現現貨價格較期貨價格高，即基差為正值的不正常情況。</w:t>
      </w:r>
      <w:r w:rsidR="0045470A" w:rsidRPr="000B1EEA">
        <w:rPr>
          <w:rFonts w:ascii="Verdana" w:hAnsi="Verdana"/>
          <w:spacing w:val="20"/>
          <w:szCs w:val="24"/>
        </w:rPr>
        <w:br/>
      </w:r>
      <w:r w:rsidR="0045470A" w:rsidRPr="000B1EEA">
        <w:rPr>
          <w:rFonts w:ascii="Verdana" w:hAnsi="Verdana"/>
          <w:spacing w:val="20"/>
          <w:szCs w:val="24"/>
          <w:shd w:val="clear" w:color="auto" w:fill="FFFFFF"/>
        </w:rPr>
        <w:t>和</w:t>
      </w:r>
      <w:hyperlink r:id="rId15" w:tgtFrame="_blank" w:history="1">
        <w:r w:rsidR="0045470A" w:rsidRPr="000B1EEA">
          <w:rPr>
            <w:rStyle w:val="a4"/>
            <w:rFonts w:ascii="Verdana" w:hAnsi="Verdana"/>
            <w:color w:val="auto"/>
            <w:spacing w:val="20"/>
            <w:szCs w:val="24"/>
            <w:shd w:val="clear" w:color="auto" w:fill="FFFFFF"/>
          </w:rPr>
          <w:t>價差</w:t>
        </w:r>
      </w:hyperlink>
      <w:r w:rsidR="0045470A" w:rsidRPr="000B1EEA">
        <w:rPr>
          <w:rFonts w:ascii="Verdana" w:hAnsi="Verdana"/>
          <w:spacing w:val="20"/>
          <w:szCs w:val="24"/>
          <w:shd w:val="clear" w:color="auto" w:fill="FFFFFF"/>
        </w:rPr>
        <w:t>相同，一般以「基差絕對值」的變大（</w:t>
      </w:r>
      <w:r w:rsidR="0045470A" w:rsidRPr="000B1EEA">
        <w:rPr>
          <w:rFonts w:ascii="Verdana" w:hAnsi="Verdana"/>
          <w:spacing w:val="20"/>
          <w:szCs w:val="24"/>
          <w:shd w:val="clear" w:color="auto" w:fill="FFFFFF"/>
        </w:rPr>
        <w:t>Widening</w:t>
      </w:r>
      <w:r w:rsidR="0045470A" w:rsidRPr="000B1EEA">
        <w:rPr>
          <w:rFonts w:ascii="Verdana" w:hAnsi="Verdana"/>
          <w:spacing w:val="20"/>
          <w:szCs w:val="24"/>
          <w:shd w:val="clear" w:color="auto" w:fill="FFFFFF"/>
        </w:rPr>
        <w:t>）或變小（</w:t>
      </w:r>
      <w:r w:rsidR="0045470A" w:rsidRPr="000B1EEA">
        <w:rPr>
          <w:rFonts w:ascii="Verdana" w:hAnsi="Verdana"/>
          <w:spacing w:val="20"/>
          <w:szCs w:val="24"/>
          <w:shd w:val="clear" w:color="auto" w:fill="FFFFFF"/>
        </w:rPr>
        <w:t>Narrowing</w:t>
      </w:r>
      <w:r w:rsidR="0045470A" w:rsidRPr="000B1EEA">
        <w:rPr>
          <w:rFonts w:ascii="Verdana" w:hAnsi="Verdana"/>
          <w:spacing w:val="20"/>
          <w:szCs w:val="24"/>
          <w:shd w:val="clear" w:color="auto" w:fill="FFFFFF"/>
        </w:rPr>
        <w:t>）來說明基差的變化。</w:t>
      </w:r>
    </w:p>
    <w:p w14:paraId="0BE4902C" w14:textId="54D69AB7" w:rsidR="00F90B74" w:rsidRPr="000B1EEA" w:rsidRDefault="00F90B74" w:rsidP="0045470A">
      <w:pPr>
        <w:rPr>
          <w:rFonts w:ascii="微軟正黑體" w:eastAsia="微軟正黑體" w:hAnsi="微軟正黑體"/>
          <w:szCs w:val="24"/>
          <w:shd w:val="clear" w:color="auto" w:fill="FFFFFF"/>
        </w:rPr>
      </w:pPr>
      <w:r w:rsidRPr="000B1EEA">
        <w:rPr>
          <w:rFonts w:ascii="微軟正黑體" w:eastAsia="微軟正黑體" w:hAnsi="微軟正黑體" w:hint="eastAsia"/>
          <w:noProof/>
          <w:szCs w:val="24"/>
          <w:shd w:val="clear" w:color="auto" w:fill="FFFFFF"/>
        </w:rPr>
        <w:lastRenderedPageBreak/>
        <w:drawing>
          <wp:inline distT="0" distB="0" distL="0" distR="0" wp14:anchorId="47FA52EB" wp14:editId="248FEFA3">
            <wp:extent cx="5274310" cy="372300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723005"/>
                    </a:xfrm>
                    <a:prstGeom prst="rect">
                      <a:avLst/>
                    </a:prstGeom>
                  </pic:spPr>
                </pic:pic>
              </a:graphicData>
            </a:graphic>
          </wp:inline>
        </w:drawing>
      </w:r>
    </w:p>
    <w:p w14:paraId="7A9671F6" w14:textId="000401AF" w:rsidR="00BA2909" w:rsidRPr="000B1EEA" w:rsidRDefault="0046283E" w:rsidP="0045470A">
      <w:pPr>
        <w:ind w:left="360"/>
        <w:rPr>
          <w:szCs w:val="24"/>
        </w:rPr>
      </w:pPr>
      <w:r w:rsidRPr="000B1EEA">
        <w:rPr>
          <w:rFonts w:hint="eastAsia"/>
          <w:noProof/>
          <w:szCs w:val="24"/>
        </w:rPr>
        <w:drawing>
          <wp:inline distT="0" distB="0" distL="0" distR="0" wp14:anchorId="34C13898" wp14:editId="06222EDD">
            <wp:extent cx="4781550" cy="79057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99.jpg"/>
                    <pic:cNvPicPr/>
                  </pic:nvPicPr>
                  <pic:blipFill>
                    <a:blip r:embed="rId17">
                      <a:extLst>
                        <a:ext uri="{28A0092B-C50C-407E-A947-70E740481C1C}">
                          <a14:useLocalDpi xmlns:a14="http://schemas.microsoft.com/office/drawing/2010/main" val="0"/>
                        </a:ext>
                      </a:extLst>
                    </a:blip>
                    <a:stretch>
                      <a:fillRect/>
                    </a:stretch>
                  </pic:blipFill>
                  <pic:spPr>
                    <a:xfrm>
                      <a:off x="0" y="0"/>
                      <a:ext cx="4781550" cy="790575"/>
                    </a:xfrm>
                    <a:prstGeom prst="rect">
                      <a:avLst/>
                    </a:prstGeom>
                  </pic:spPr>
                </pic:pic>
              </a:graphicData>
            </a:graphic>
          </wp:inline>
        </w:drawing>
      </w:r>
    </w:p>
    <w:p w14:paraId="129C981B" w14:textId="04B40539" w:rsidR="0046283E" w:rsidRPr="000B1EEA" w:rsidRDefault="0046283E" w:rsidP="002F2A9B">
      <w:pPr>
        <w:numPr>
          <w:ilvl w:val="0"/>
          <w:numId w:val="9"/>
        </w:numPr>
        <w:jc w:val="center"/>
        <w:rPr>
          <w:color w:val="FF0000"/>
          <w:szCs w:val="24"/>
        </w:rPr>
      </w:pPr>
      <w:r w:rsidRPr="000B1EEA">
        <w:rPr>
          <w:rFonts w:hint="eastAsia"/>
          <w:color w:val="FF0000"/>
          <w:szCs w:val="24"/>
        </w:rPr>
        <w:t>選擇權</w:t>
      </w:r>
    </w:p>
    <w:p w14:paraId="728AD249" w14:textId="07682C8B" w:rsidR="0046283E" w:rsidRPr="000B1EEA" w:rsidRDefault="0046283E" w:rsidP="002F2A9B">
      <w:pPr>
        <w:numPr>
          <w:ilvl w:val="0"/>
          <w:numId w:val="10"/>
        </w:numPr>
        <w:rPr>
          <w:szCs w:val="24"/>
        </w:rPr>
      </w:pPr>
      <w:r w:rsidRPr="000B1EEA">
        <w:rPr>
          <w:rFonts w:hint="eastAsia"/>
          <w:szCs w:val="24"/>
        </w:rPr>
        <w:t>定義</w:t>
      </w:r>
      <w:r w:rsidRPr="000B1EEA">
        <w:rPr>
          <w:rFonts w:hint="eastAsia"/>
          <w:szCs w:val="24"/>
        </w:rPr>
        <w:t xml:space="preserve">: </w:t>
      </w:r>
      <w:r w:rsidRPr="000B1EEA">
        <w:rPr>
          <w:rFonts w:hint="eastAsia"/>
          <w:szCs w:val="24"/>
        </w:rPr>
        <w:t>是一種</w:t>
      </w:r>
      <w:r w:rsidRPr="000B1EEA">
        <w:rPr>
          <w:rFonts w:hint="eastAsia"/>
          <w:b/>
          <w:bCs/>
          <w:szCs w:val="24"/>
        </w:rPr>
        <w:t>衍生性商品</w:t>
      </w:r>
      <w:r w:rsidRPr="000B1EEA">
        <w:rPr>
          <w:rFonts w:hint="eastAsia"/>
          <w:b/>
          <w:bCs/>
          <w:szCs w:val="24"/>
        </w:rPr>
        <w:t>(</w:t>
      </w:r>
      <w:r w:rsidRPr="000B1EEA">
        <w:rPr>
          <w:rFonts w:hint="eastAsia"/>
          <w:szCs w:val="24"/>
        </w:rPr>
        <w:t>Derivatives</w:t>
      </w:r>
      <w:r w:rsidRPr="000B1EEA">
        <w:rPr>
          <w:rFonts w:hint="eastAsia"/>
          <w:b/>
          <w:bCs/>
          <w:szCs w:val="24"/>
        </w:rPr>
        <w:t>)</w:t>
      </w:r>
      <w:r w:rsidRPr="000B1EEA">
        <w:rPr>
          <w:rFonts w:hint="eastAsia"/>
          <w:szCs w:val="24"/>
        </w:rPr>
        <w:t xml:space="preserve"> </w:t>
      </w:r>
      <w:r w:rsidRPr="000B1EEA">
        <w:rPr>
          <w:rFonts w:hint="eastAsia"/>
          <w:b/>
          <w:bCs/>
          <w:szCs w:val="24"/>
        </w:rPr>
        <w:t>契約</w:t>
      </w:r>
      <w:r w:rsidRPr="000B1EEA">
        <w:rPr>
          <w:rFonts w:hint="eastAsia"/>
          <w:szCs w:val="24"/>
        </w:rPr>
        <w:t>。持有人有權在未來某一段期間內（或某一特定日期），以約定的價格向賣方買進或賣出一定數量的標的資產（</w:t>
      </w:r>
      <w:r w:rsidRPr="000B1EEA">
        <w:rPr>
          <w:rFonts w:hint="eastAsia"/>
          <w:szCs w:val="24"/>
        </w:rPr>
        <w:t>Underlying Asset</w:t>
      </w:r>
      <w:r w:rsidRPr="000B1EEA">
        <w:rPr>
          <w:rFonts w:hint="eastAsia"/>
          <w:szCs w:val="24"/>
        </w:rPr>
        <w:t>）</w:t>
      </w:r>
      <w:r w:rsidR="00F404D6" w:rsidRPr="000B1EEA">
        <w:rPr>
          <w:rFonts w:hint="eastAsia"/>
          <w:szCs w:val="24"/>
        </w:rPr>
        <w:t>。當買權標的物的市場價格高於契約所訂的履約價格，則此買權有履約價值，買方可行使權利，以獲取價差。另外選擇權同樣具有避險的功能。例如有一投資人小張，手中持有</w:t>
      </w:r>
      <w:r w:rsidR="00F404D6" w:rsidRPr="000B1EEA">
        <w:rPr>
          <w:rFonts w:hint="eastAsia"/>
          <w:szCs w:val="24"/>
        </w:rPr>
        <w:t>2</w:t>
      </w:r>
      <w:r w:rsidR="00F404D6" w:rsidRPr="000B1EEA">
        <w:rPr>
          <w:rFonts w:hint="eastAsia"/>
          <w:szCs w:val="24"/>
        </w:rPr>
        <w:t>張台積電股票，買進的成本為每股</w:t>
      </w:r>
      <w:r w:rsidR="00F404D6" w:rsidRPr="000B1EEA">
        <w:rPr>
          <w:rFonts w:hint="eastAsia"/>
          <w:szCs w:val="24"/>
        </w:rPr>
        <w:t>170</w:t>
      </w:r>
      <w:r w:rsidR="00F404D6" w:rsidRPr="000B1EEA">
        <w:rPr>
          <w:rFonts w:hint="eastAsia"/>
          <w:szCs w:val="24"/>
        </w:rPr>
        <w:t>元，權利金</w:t>
      </w:r>
      <w:r w:rsidR="00F404D6" w:rsidRPr="000B1EEA">
        <w:rPr>
          <w:rFonts w:hint="eastAsia"/>
          <w:szCs w:val="24"/>
        </w:rPr>
        <w:t>5</w:t>
      </w:r>
      <w:r w:rsidR="00F404D6" w:rsidRPr="000B1EEA">
        <w:rPr>
          <w:rFonts w:hint="eastAsia"/>
          <w:szCs w:val="24"/>
        </w:rPr>
        <w:t>點</w:t>
      </w:r>
      <w:r w:rsidR="00F404D6" w:rsidRPr="000B1EEA">
        <w:rPr>
          <w:rFonts w:hint="eastAsia"/>
          <w:szCs w:val="24"/>
        </w:rPr>
        <w:t>(</w:t>
      </w:r>
      <w:r w:rsidR="00F404D6" w:rsidRPr="000B1EEA">
        <w:rPr>
          <w:rFonts w:hint="eastAsia"/>
          <w:szCs w:val="24"/>
        </w:rPr>
        <w:t>每點價值</w:t>
      </w:r>
      <w:r w:rsidR="00F404D6" w:rsidRPr="000B1EEA">
        <w:rPr>
          <w:rFonts w:hint="eastAsia"/>
          <w:szCs w:val="24"/>
        </w:rPr>
        <w:t>2000</w:t>
      </w:r>
      <w:r w:rsidR="00F404D6" w:rsidRPr="000B1EEA">
        <w:rPr>
          <w:rFonts w:hint="eastAsia"/>
          <w:szCs w:val="24"/>
        </w:rPr>
        <w:t>元</w:t>
      </w:r>
      <w:r w:rsidR="00F404D6" w:rsidRPr="000B1EEA">
        <w:rPr>
          <w:rFonts w:hint="eastAsia"/>
          <w:szCs w:val="24"/>
        </w:rPr>
        <w:t>)</w:t>
      </w:r>
      <w:r w:rsidR="00F404D6" w:rsidRPr="000B1EEA">
        <w:rPr>
          <w:rFonts w:hint="eastAsia"/>
          <w:szCs w:val="24"/>
        </w:rPr>
        <w:t>，則小張可以支付</w:t>
      </w:r>
      <w:r w:rsidR="00F404D6" w:rsidRPr="000B1EEA">
        <w:rPr>
          <w:rFonts w:hint="eastAsia"/>
          <w:szCs w:val="24"/>
        </w:rPr>
        <w:t>10000</w:t>
      </w:r>
      <w:r w:rsidR="00F404D6" w:rsidRPr="000B1EEA">
        <w:rPr>
          <w:rFonts w:hint="eastAsia"/>
          <w:szCs w:val="24"/>
        </w:rPr>
        <w:t>元</w:t>
      </w:r>
      <w:r w:rsidR="00F404D6" w:rsidRPr="000B1EEA">
        <w:rPr>
          <w:rFonts w:hint="eastAsia"/>
          <w:szCs w:val="24"/>
        </w:rPr>
        <w:t>(2000*5)</w:t>
      </w:r>
      <w:r w:rsidR="00F404D6" w:rsidRPr="000B1EEA">
        <w:rPr>
          <w:rFonts w:hint="eastAsia"/>
          <w:szCs w:val="24"/>
        </w:rPr>
        <w:t>的權利金買進賣權，取得未來以每股</w:t>
      </w:r>
      <w:r w:rsidR="00F404D6" w:rsidRPr="000B1EEA">
        <w:rPr>
          <w:rFonts w:hint="eastAsia"/>
          <w:szCs w:val="24"/>
        </w:rPr>
        <w:t>170</w:t>
      </w:r>
      <w:r w:rsidR="00F404D6" w:rsidRPr="000B1EEA">
        <w:rPr>
          <w:rFonts w:hint="eastAsia"/>
          <w:szCs w:val="24"/>
        </w:rPr>
        <w:t>元價格賣出台積電股票的權利。</w:t>
      </w:r>
    </w:p>
    <w:p w14:paraId="4947C3A9" w14:textId="77777777" w:rsidR="0046283E" w:rsidRPr="000B1EEA" w:rsidRDefault="0046283E" w:rsidP="002F2A9B">
      <w:pPr>
        <w:numPr>
          <w:ilvl w:val="0"/>
          <w:numId w:val="10"/>
        </w:numPr>
        <w:rPr>
          <w:szCs w:val="24"/>
        </w:rPr>
      </w:pPr>
      <w:r w:rsidRPr="000B1EEA">
        <w:rPr>
          <w:rFonts w:hint="eastAsia"/>
          <w:szCs w:val="24"/>
        </w:rPr>
        <w:t>買方有權利，而賣方則有義務去履行買方所要求的權利</w:t>
      </w:r>
    </w:p>
    <w:p w14:paraId="701FCB5B" w14:textId="184B2DB0" w:rsidR="0046283E" w:rsidRPr="000B1EEA" w:rsidRDefault="0046283E" w:rsidP="002F2A9B">
      <w:pPr>
        <w:numPr>
          <w:ilvl w:val="0"/>
          <w:numId w:val="10"/>
        </w:numPr>
        <w:rPr>
          <w:szCs w:val="24"/>
        </w:rPr>
      </w:pPr>
      <w:r w:rsidRPr="000B1EEA">
        <w:rPr>
          <w:rFonts w:hint="eastAsia"/>
          <w:szCs w:val="24"/>
        </w:rPr>
        <w:t>有一定的有效期限，超過期限就沒有價值</w:t>
      </w:r>
      <w:r w:rsidR="00F404D6" w:rsidRPr="000B1EEA">
        <w:rPr>
          <w:rFonts w:hint="eastAsia"/>
          <w:szCs w:val="24"/>
        </w:rPr>
        <w:t>!</w:t>
      </w:r>
      <w:r w:rsidRPr="000B1EEA">
        <w:rPr>
          <w:rFonts w:hint="eastAsia"/>
          <w:szCs w:val="24"/>
        </w:rPr>
        <w:t>履約月份。</w:t>
      </w:r>
    </w:p>
    <w:p w14:paraId="0687E1B4" w14:textId="17246586" w:rsidR="0046283E" w:rsidRPr="000B1EEA" w:rsidRDefault="0046283E" w:rsidP="002F2A9B">
      <w:pPr>
        <w:numPr>
          <w:ilvl w:val="0"/>
          <w:numId w:val="10"/>
        </w:numPr>
        <w:rPr>
          <w:szCs w:val="24"/>
        </w:rPr>
      </w:pPr>
      <w:r w:rsidRPr="000B1EEA">
        <w:rPr>
          <w:rFonts w:hint="eastAsia"/>
          <w:szCs w:val="24"/>
        </w:rPr>
        <w:t>約定價格是雙方事先約定的履約價格。</w:t>
      </w:r>
    </w:p>
    <w:p w14:paraId="7D0337E5" w14:textId="77777777" w:rsidR="0046283E" w:rsidRPr="000B1EEA" w:rsidRDefault="0046283E" w:rsidP="002F2A9B">
      <w:pPr>
        <w:numPr>
          <w:ilvl w:val="0"/>
          <w:numId w:val="10"/>
        </w:numPr>
        <w:rPr>
          <w:szCs w:val="24"/>
        </w:rPr>
      </w:pPr>
      <w:r w:rsidRPr="000B1EEA">
        <w:rPr>
          <w:rFonts w:hint="eastAsia"/>
          <w:szCs w:val="24"/>
        </w:rPr>
        <w:t>具有買進標的物（買權）和賣出標的物（賣權）之分，是兩種不同的合約</w:t>
      </w:r>
      <w:r w:rsidRPr="000B1EEA">
        <w:rPr>
          <w:rFonts w:hint="eastAsia"/>
          <w:szCs w:val="24"/>
        </w:rPr>
        <w:t>~</w:t>
      </w:r>
      <w:r w:rsidRPr="000B1EEA">
        <w:rPr>
          <w:rFonts w:hint="eastAsia"/>
          <w:szCs w:val="24"/>
        </w:rPr>
        <w:t>買權</w:t>
      </w:r>
      <w:r w:rsidRPr="000B1EEA">
        <w:rPr>
          <w:rFonts w:hint="eastAsia"/>
          <w:szCs w:val="24"/>
        </w:rPr>
        <w:t>Call &amp; </w:t>
      </w:r>
      <w:r w:rsidRPr="000B1EEA">
        <w:rPr>
          <w:rFonts w:hint="eastAsia"/>
          <w:szCs w:val="24"/>
        </w:rPr>
        <w:t>賣權</w:t>
      </w:r>
      <w:r w:rsidRPr="000B1EEA">
        <w:rPr>
          <w:rFonts w:hint="eastAsia"/>
          <w:szCs w:val="24"/>
        </w:rPr>
        <w:t>Put</w:t>
      </w:r>
    </w:p>
    <w:p w14:paraId="41119265" w14:textId="77777777" w:rsidR="0046283E" w:rsidRPr="000B1EEA" w:rsidRDefault="0046283E" w:rsidP="002F2A9B">
      <w:pPr>
        <w:numPr>
          <w:ilvl w:val="0"/>
          <w:numId w:val="10"/>
        </w:numPr>
        <w:rPr>
          <w:szCs w:val="24"/>
        </w:rPr>
      </w:pPr>
      <w:r w:rsidRPr="000B1EEA">
        <w:rPr>
          <w:rFonts w:hint="eastAsia"/>
          <w:szCs w:val="24"/>
        </w:rPr>
        <w:t>標的資產是事先約定的，可以是股票、外匯、債券、農產品…等。</w:t>
      </w:r>
    </w:p>
    <w:tbl>
      <w:tblPr>
        <w:tblStyle w:val="a5"/>
        <w:tblW w:w="0" w:type="auto"/>
        <w:tblInd w:w="425" w:type="dxa"/>
        <w:tblLook w:val="04A0" w:firstRow="1" w:lastRow="0" w:firstColumn="1" w:lastColumn="0" w:noHBand="0" w:noVBand="1"/>
      </w:tblPr>
      <w:tblGrid>
        <w:gridCol w:w="2624"/>
        <w:gridCol w:w="2900"/>
        <w:gridCol w:w="2347"/>
      </w:tblGrid>
      <w:tr w:rsidR="0046283E" w:rsidRPr="000B1EEA" w14:paraId="18A9840B" w14:textId="77777777" w:rsidTr="0046283E">
        <w:tc>
          <w:tcPr>
            <w:tcW w:w="2624" w:type="dxa"/>
          </w:tcPr>
          <w:p w14:paraId="5BA83414" w14:textId="77777777" w:rsidR="0046283E" w:rsidRPr="000B1EEA" w:rsidRDefault="0046283E" w:rsidP="0046283E">
            <w:pPr>
              <w:rPr>
                <w:szCs w:val="24"/>
              </w:rPr>
            </w:pPr>
          </w:p>
        </w:tc>
        <w:tc>
          <w:tcPr>
            <w:tcW w:w="2900" w:type="dxa"/>
          </w:tcPr>
          <w:p w14:paraId="5EE2BBC1" w14:textId="43BC227A" w:rsidR="0046283E" w:rsidRPr="000B1EEA" w:rsidRDefault="0046283E" w:rsidP="0046283E">
            <w:pPr>
              <w:rPr>
                <w:szCs w:val="24"/>
              </w:rPr>
            </w:pPr>
            <w:r w:rsidRPr="000B1EEA">
              <w:rPr>
                <w:rFonts w:hint="eastAsia"/>
                <w:szCs w:val="24"/>
              </w:rPr>
              <w:t>選擇權買方</w:t>
            </w:r>
          </w:p>
        </w:tc>
        <w:tc>
          <w:tcPr>
            <w:tcW w:w="2347" w:type="dxa"/>
          </w:tcPr>
          <w:p w14:paraId="3B49C8CF" w14:textId="45285142" w:rsidR="0046283E" w:rsidRPr="000B1EEA" w:rsidRDefault="0046283E" w:rsidP="0046283E">
            <w:pPr>
              <w:rPr>
                <w:szCs w:val="24"/>
              </w:rPr>
            </w:pPr>
            <w:r w:rsidRPr="000B1EEA">
              <w:rPr>
                <w:rFonts w:hint="eastAsia"/>
                <w:szCs w:val="24"/>
              </w:rPr>
              <w:t>選擇權賣方</w:t>
            </w:r>
          </w:p>
        </w:tc>
      </w:tr>
      <w:tr w:rsidR="0046283E" w:rsidRPr="000B1EEA" w14:paraId="452EED1A" w14:textId="77777777" w:rsidTr="0046283E">
        <w:tc>
          <w:tcPr>
            <w:tcW w:w="2624" w:type="dxa"/>
          </w:tcPr>
          <w:p w14:paraId="3A3B617A" w14:textId="4FE8EA70" w:rsidR="0046283E" w:rsidRPr="000B1EEA" w:rsidRDefault="0046283E" w:rsidP="0046283E">
            <w:pPr>
              <w:rPr>
                <w:szCs w:val="24"/>
              </w:rPr>
            </w:pPr>
            <w:r w:rsidRPr="000B1EEA">
              <w:rPr>
                <w:rFonts w:hint="eastAsia"/>
                <w:szCs w:val="24"/>
              </w:rPr>
              <w:t>權利與義務</w:t>
            </w:r>
          </w:p>
        </w:tc>
        <w:tc>
          <w:tcPr>
            <w:tcW w:w="2900" w:type="dxa"/>
          </w:tcPr>
          <w:p w14:paraId="13176A1A" w14:textId="1F2CEC61" w:rsidR="0046283E" w:rsidRPr="000B1EEA" w:rsidRDefault="0046283E" w:rsidP="0046283E">
            <w:pPr>
              <w:rPr>
                <w:szCs w:val="24"/>
              </w:rPr>
            </w:pPr>
            <w:r w:rsidRPr="000B1EEA">
              <w:rPr>
                <w:rFonts w:hint="eastAsia"/>
                <w:szCs w:val="24"/>
              </w:rPr>
              <w:t>有權力要求賣方履約</w:t>
            </w:r>
          </w:p>
        </w:tc>
        <w:tc>
          <w:tcPr>
            <w:tcW w:w="2347" w:type="dxa"/>
          </w:tcPr>
          <w:p w14:paraId="044E26B0" w14:textId="5A24538B" w:rsidR="0046283E" w:rsidRPr="000B1EEA" w:rsidRDefault="0046283E" w:rsidP="0046283E">
            <w:pPr>
              <w:rPr>
                <w:szCs w:val="24"/>
              </w:rPr>
            </w:pPr>
            <w:r w:rsidRPr="000B1EEA">
              <w:rPr>
                <w:rFonts w:hint="eastAsia"/>
                <w:szCs w:val="24"/>
              </w:rPr>
              <w:t>有義務必須履約</w:t>
            </w:r>
          </w:p>
        </w:tc>
      </w:tr>
      <w:tr w:rsidR="0046283E" w:rsidRPr="000B1EEA" w14:paraId="548F39CD" w14:textId="77777777" w:rsidTr="0046283E">
        <w:tc>
          <w:tcPr>
            <w:tcW w:w="2624" w:type="dxa"/>
          </w:tcPr>
          <w:p w14:paraId="344ADD01" w14:textId="6016E0A6" w:rsidR="0046283E" w:rsidRPr="000B1EEA" w:rsidRDefault="0046283E" w:rsidP="0046283E">
            <w:pPr>
              <w:rPr>
                <w:szCs w:val="24"/>
              </w:rPr>
            </w:pPr>
            <w:r w:rsidRPr="000B1EEA">
              <w:rPr>
                <w:rFonts w:hint="eastAsia"/>
                <w:szCs w:val="24"/>
              </w:rPr>
              <w:lastRenderedPageBreak/>
              <w:t>代價</w:t>
            </w:r>
          </w:p>
        </w:tc>
        <w:tc>
          <w:tcPr>
            <w:tcW w:w="2900" w:type="dxa"/>
          </w:tcPr>
          <w:p w14:paraId="370D520B" w14:textId="626F7EC3" w:rsidR="0046283E" w:rsidRPr="000B1EEA" w:rsidRDefault="0046283E" w:rsidP="0046283E">
            <w:pPr>
              <w:rPr>
                <w:szCs w:val="24"/>
              </w:rPr>
            </w:pPr>
            <w:r w:rsidRPr="000B1EEA">
              <w:rPr>
                <w:rFonts w:hint="eastAsia"/>
                <w:szCs w:val="24"/>
              </w:rPr>
              <w:t>支付權利金</w:t>
            </w:r>
          </w:p>
        </w:tc>
        <w:tc>
          <w:tcPr>
            <w:tcW w:w="2347" w:type="dxa"/>
          </w:tcPr>
          <w:p w14:paraId="1511524E" w14:textId="79001080" w:rsidR="0046283E" w:rsidRPr="000B1EEA" w:rsidRDefault="0046283E" w:rsidP="0046283E">
            <w:pPr>
              <w:rPr>
                <w:szCs w:val="24"/>
              </w:rPr>
            </w:pPr>
            <w:r w:rsidRPr="000B1EEA">
              <w:rPr>
                <w:rFonts w:hint="eastAsia"/>
                <w:szCs w:val="24"/>
              </w:rPr>
              <w:t>收取權利金，繳交保證金</w:t>
            </w:r>
          </w:p>
        </w:tc>
      </w:tr>
      <w:tr w:rsidR="0046283E" w:rsidRPr="000B1EEA" w14:paraId="0B2E008E" w14:textId="77777777" w:rsidTr="0046283E">
        <w:tc>
          <w:tcPr>
            <w:tcW w:w="2624" w:type="dxa"/>
          </w:tcPr>
          <w:p w14:paraId="15A9418C" w14:textId="6BF73CEC" w:rsidR="0046283E" w:rsidRPr="000B1EEA" w:rsidRDefault="0046283E" w:rsidP="0046283E">
            <w:pPr>
              <w:rPr>
                <w:szCs w:val="24"/>
              </w:rPr>
            </w:pPr>
            <w:r w:rsidRPr="000B1EEA">
              <w:rPr>
                <w:rFonts w:hint="eastAsia"/>
                <w:szCs w:val="24"/>
              </w:rPr>
              <w:t>風險</w:t>
            </w:r>
          </w:p>
        </w:tc>
        <w:tc>
          <w:tcPr>
            <w:tcW w:w="2900" w:type="dxa"/>
          </w:tcPr>
          <w:p w14:paraId="194443B2" w14:textId="532BEA83" w:rsidR="0046283E" w:rsidRPr="000B1EEA" w:rsidRDefault="0046283E" w:rsidP="0046283E">
            <w:pPr>
              <w:rPr>
                <w:szCs w:val="24"/>
              </w:rPr>
            </w:pPr>
            <w:r w:rsidRPr="000B1EEA">
              <w:rPr>
                <w:rFonts w:hint="eastAsia"/>
                <w:szCs w:val="24"/>
              </w:rPr>
              <w:t>最大風險是權利金完全損失</w:t>
            </w:r>
          </w:p>
        </w:tc>
        <w:tc>
          <w:tcPr>
            <w:tcW w:w="2347" w:type="dxa"/>
          </w:tcPr>
          <w:p w14:paraId="6AE5C11A" w14:textId="616A0342" w:rsidR="0046283E" w:rsidRPr="000B1EEA" w:rsidRDefault="00AE2148" w:rsidP="0046283E">
            <w:pPr>
              <w:rPr>
                <w:szCs w:val="24"/>
              </w:rPr>
            </w:pPr>
            <w:r w:rsidRPr="000B1EEA">
              <w:rPr>
                <w:rFonts w:hint="eastAsia"/>
                <w:szCs w:val="24"/>
              </w:rPr>
              <w:t>需承擔全部損失風險</w:t>
            </w:r>
          </w:p>
        </w:tc>
      </w:tr>
      <w:tr w:rsidR="0046283E" w:rsidRPr="000B1EEA" w14:paraId="456FC3D5" w14:textId="77777777" w:rsidTr="0046283E">
        <w:tc>
          <w:tcPr>
            <w:tcW w:w="2624" w:type="dxa"/>
          </w:tcPr>
          <w:p w14:paraId="7ED7EFAB" w14:textId="2AE3EFC8" w:rsidR="0046283E" w:rsidRPr="000B1EEA" w:rsidRDefault="0046283E" w:rsidP="0046283E">
            <w:pPr>
              <w:rPr>
                <w:szCs w:val="24"/>
              </w:rPr>
            </w:pPr>
            <w:r w:rsidRPr="000B1EEA">
              <w:rPr>
                <w:rFonts w:hint="eastAsia"/>
                <w:szCs w:val="24"/>
              </w:rPr>
              <w:t>利潤</w:t>
            </w:r>
          </w:p>
        </w:tc>
        <w:tc>
          <w:tcPr>
            <w:tcW w:w="2900" w:type="dxa"/>
          </w:tcPr>
          <w:p w14:paraId="3D127A24" w14:textId="4B2A5D4D" w:rsidR="0046283E" w:rsidRPr="000B1EEA" w:rsidRDefault="00AE2148" w:rsidP="0046283E">
            <w:pPr>
              <w:rPr>
                <w:szCs w:val="24"/>
              </w:rPr>
            </w:pPr>
            <w:r w:rsidRPr="000B1EEA">
              <w:rPr>
                <w:rFonts w:hint="eastAsia"/>
                <w:szCs w:val="24"/>
              </w:rPr>
              <w:t>以小博大，利潤高</w:t>
            </w:r>
          </w:p>
        </w:tc>
        <w:tc>
          <w:tcPr>
            <w:tcW w:w="2347" w:type="dxa"/>
          </w:tcPr>
          <w:p w14:paraId="08E49D36" w14:textId="50F9DFF4" w:rsidR="0046283E" w:rsidRPr="000B1EEA" w:rsidRDefault="00AE2148" w:rsidP="0046283E">
            <w:pPr>
              <w:rPr>
                <w:szCs w:val="24"/>
              </w:rPr>
            </w:pPr>
            <w:r w:rsidRPr="000B1EEA">
              <w:rPr>
                <w:rFonts w:hint="eastAsia"/>
                <w:szCs w:val="24"/>
              </w:rPr>
              <w:t>收取有限權利金</w:t>
            </w:r>
          </w:p>
        </w:tc>
      </w:tr>
    </w:tbl>
    <w:p w14:paraId="4C1C3535" w14:textId="77777777" w:rsidR="004C4E6E" w:rsidRPr="000B1EEA" w:rsidRDefault="004C4E6E" w:rsidP="004C4E6E">
      <w:pPr>
        <w:ind w:left="360"/>
        <w:rPr>
          <w:szCs w:val="24"/>
        </w:rPr>
      </w:pPr>
    </w:p>
    <w:p w14:paraId="43457CD6" w14:textId="77777777" w:rsidR="004C4E6E" w:rsidRPr="000B1EEA" w:rsidRDefault="004C4E6E" w:rsidP="004C4E6E">
      <w:pPr>
        <w:rPr>
          <w:szCs w:val="24"/>
        </w:rPr>
      </w:pPr>
    </w:p>
    <w:p w14:paraId="257DF927" w14:textId="1EF6AE66" w:rsidR="004C4E6E" w:rsidRPr="000B1EEA" w:rsidRDefault="00AE2148" w:rsidP="004C4E6E">
      <w:pPr>
        <w:rPr>
          <w:szCs w:val="24"/>
        </w:rPr>
      </w:pPr>
      <w:r w:rsidRPr="000B1EEA">
        <w:rPr>
          <w:rFonts w:hint="eastAsia"/>
          <w:szCs w:val="24"/>
        </w:rPr>
        <w:t>看漲</w:t>
      </w:r>
      <w:r w:rsidRPr="000B1EEA">
        <w:rPr>
          <w:rFonts w:hint="eastAsia"/>
          <w:szCs w:val="24"/>
        </w:rPr>
        <w:t>:</w:t>
      </w:r>
      <w:r w:rsidRPr="000B1EEA">
        <w:rPr>
          <w:rFonts w:hint="eastAsia"/>
          <w:szCs w:val="24"/>
        </w:rPr>
        <w:t>買進買權，賣出賣權</w:t>
      </w:r>
    </w:p>
    <w:p w14:paraId="3BFB6C0A" w14:textId="77777777" w:rsidR="008B78E3" w:rsidRPr="000B1EEA" w:rsidRDefault="00AE2148" w:rsidP="004C4E6E">
      <w:pPr>
        <w:rPr>
          <w:szCs w:val="24"/>
        </w:rPr>
      </w:pPr>
      <w:r w:rsidRPr="000B1EEA">
        <w:rPr>
          <w:rFonts w:hint="eastAsia"/>
          <w:szCs w:val="24"/>
        </w:rPr>
        <w:t>看跌</w:t>
      </w:r>
      <w:r w:rsidRPr="000B1EEA">
        <w:rPr>
          <w:rFonts w:hint="eastAsia"/>
          <w:szCs w:val="24"/>
        </w:rPr>
        <w:t>:</w:t>
      </w:r>
      <w:r w:rsidRPr="000B1EEA">
        <w:rPr>
          <w:rFonts w:hint="eastAsia"/>
          <w:szCs w:val="24"/>
        </w:rPr>
        <w:t>買進賣權，賣出買權</w:t>
      </w:r>
    </w:p>
    <w:p w14:paraId="7A9A16AE" w14:textId="4BAFAD50" w:rsidR="004C4E6E" w:rsidRPr="000B1EEA" w:rsidRDefault="008B78E3" w:rsidP="004C4E6E">
      <w:pPr>
        <w:rPr>
          <w:rFonts w:ascii="微軟正黑體" w:eastAsia="微軟正黑體" w:hAnsi="微軟正黑體"/>
          <w:color w:val="000000"/>
          <w:szCs w:val="24"/>
          <w:shd w:val="clear" w:color="auto" w:fill="FFFFFF"/>
        </w:rPr>
      </w:pPr>
      <w:r w:rsidRPr="000B1EEA">
        <w:rPr>
          <w:rFonts w:hint="eastAsia"/>
          <w:szCs w:val="24"/>
        </w:rPr>
        <w:t>(    )</w:t>
      </w:r>
      <w:r w:rsidR="00245B24" w:rsidRPr="000B1EEA">
        <w:rPr>
          <w:rFonts w:hint="eastAsia"/>
          <w:szCs w:val="24"/>
        </w:rPr>
        <w:t xml:space="preserve"> </w:t>
      </w:r>
      <w:r w:rsidR="00245B24" w:rsidRPr="000B1EEA">
        <w:rPr>
          <w:rFonts w:hint="eastAsia"/>
          <w:szCs w:val="24"/>
        </w:rPr>
        <w:t>牛刀小試</w:t>
      </w:r>
      <w:r w:rsidR="00245B24" w:rsidRPr="000B1EEA">
        <w:rPr>
          <w:rFonts w:hint="eastAsia"/>
          <w:szCs w:val="24"/>
        </w:rPr>
        <w:t>8</w:t>
      </w:r>
      <w:r w:rsidRPr="000B1EEA">
        <w:rPr>
          <w:rFonts w:ascii="微軟正黑體" w:eastAsia="微軟正黑體" w:hAnsi="微軟正黑體" w:hint="eastAsia"/>
          <w:color w:val="000000"/>
          <w:szCs w:val="24"/>
          <w:shd w:val="clear" w:color="auto" w:fill="FFFFFF"/>
        </w:rPr>
        <w:t>當看多標的資產價值，且只願意承擔有限風險時，應該如何操作？ (A)買入賣權 (B)賣出賣權 (C)賣出買權 (D)買入買權 </w:t>
      </w:r>
    </w:p>
    <w:p w14:paraId="5F8013D0" w14:textId="609BD531" w:rsidR="008B78E3" w:rsidRPr="000B1EEA" w:rsidRDefault="008B78E3" w:rsidP="004C4E6E">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xml:space="preserve">(    ) </w:t>
      </w:r>
      <w:r w:rsidR="00245B24" w:rsidRPr="000B1EEA">
        <w:rPr>
          <w:rFonts w:hint="eastAsia"/>
          <w:szCs w:val="24"/>
        </w:rPr>
        <w:t>牛刀小試</w:t>
      </w:r>
      <w:r w:rsidR="00245B24" w:rsidRPr="000B1EEA">
        <w:rPr>
          <w:rFonts w:hint="eastAsia"/>
          <w:szCs w:val="24"/>
        </w:rPr>
        <w:t>9</w:t>
      </w:r>
      <w:r w:rsidRPr="000B1EEA">
        <w:rPr>
          <w:rFonts w:ascii="微軟正黑體" w:eastAsia="微軟正黑體" w:hAnsi="微軟正黑體" w:hint="eastAsia"/>
          <w:color w:val="000000"/>
          <w:szCs w:val="24"/>
          <w:shd w:val="clear" w:color="auto" w:fill="FFFFFF"/>
        </w:rPr>
        <w:t>如「看貶」人民幣，應如何操作？</w:t>
      </w:r>
    </w:p>
    <w:p w14:paraId="072B7537" w14:textId="3D5420EE" w:rsidR="004C4E6E" w:rsidRPr="000B1EEA" w:rsidRDefault="008B78E3" w:rsidP="004C4E6E">
      <w:pPr>
        <w:rPr>
          <w:szCs w:val="24"/>
        </w:rPr>
      </w:pPr>
      <w:r w:rsidRPr="000B1EEA">
        <w:rPr>
          <w:rFonts w:ascii="微軟正黑體" w:eastAsia="微軟正黑體" w:hAnsi="微軟正黑體" w:hint="eastAsia"/>
          <w:color w:val="000000"/>
          <w:szCs w:val="24"/>
          <w:shd w:val="clear" w:color="auto" w:fill="FFFFFF"/>
        </w:rPr>
        <w:t>(A)買入 USD Call CNY Put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(B)買入 USD Put CNY Call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(C)賣出 USD Put CNY Call </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(D)買入一連串 USD Call </w:t>
      </w:r>
    </w:p>
    <w:p w14:paraId="4CBA6EFD" w14:textId="7CE7A437" w:rsidR="00924E0F" w:rsidRPr="000B1EEA" w:rsidRDefault="008B78E3" w:rsidP="008B78E3">
      <w:pPr>
        <w:rPr>
          <w:szCs w:val="24"/>
        </w:rPr>
      </w:pPr>
      <w:r w:rsidRPr="000B1EEA">
        <w:rPr>
          <w:rFonts w:ascii="微軟正黑體" w:eastAsia="微軟正黑體" w:hAnsi="微軟正黑體" w:hint="eastAsia"/>
          <w:color w:val="000000"/>
          <w:szCs w:val="24"/>
          <w:shd w:val="clear" w:color="auto" w:fill="FFFFFF"/>
        </w:rPr>
        <w:t>(    )</w:t>
      </w:r>
      <w:r w:rsidR="00245B24" w:rsidRPr="000B1EEA">
        <w:rPr>
          <w:rFonts w:hint="eastAsia"/>
          <w:szCs w:val="24"/>
        </w:rPr>
        <w:t xml:space="preserve"> </w:t>
      </w:r>
      <w:r w:rsidR="00245B24" w:rsidRPr="000B1EEA">
        <w:rPr>
          <w:rFonts w:hint="eastAsia"/>
          <w:szCs w:val="24"/>
        </w:rPr>
        <w:t>牛刀小試</w:t>
      </w:r>
      <w:r w:rsidR="00245B24" w:rsidRPr="000B1EEA">
        <w:rPr>
          <w:rFonts w:hint="eastAsia"/>
          <w:szCs w:val="24"/>
        </w:rPr>
        <w:t>1</w:t>
      </w:r>
      <w:r w:rsidR="00245B24" w:rsidRPr="000B1EEA">
        <w:rPr>
          <w:szCs w:val="24"/>
        </w:rPr>
        <w:t>0</w:t>
      </w:r>
      <w:r w:rsidRPr="000B1EEA">
        <w:rPr>
          <w:rFonts w:ascii="微軟正黑體" w:eastAsia="微軟正黑體" w:hAnsi="微軟正黑體" w:hint="eastAsia"/>
          <w:color w:val="000000"/>
          <w:szCs w:val="24"/>
          <w:shd w:val="clear" w:color="auto" w:fill="FFFFFF"/>
        </w:rPr>
        <w:t>下列何種交換選擇權類型係指「買方在選擇權契約到期時才可要求賣方履約」？ (A)歐式(B)美式 (C)亞式 (D)百慕達式</w:t>
      </w:r>
    </w:p>
    <w:p w14:paraId="1C399C48" w14:textId="5D6CFBC1" w:rsidR="00EB5338" w:rsidRPr="000B1EEA" w:rsidRDefault="0085171F" w:rsidP="000C113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w:t>
      </w:r>
      <w:r w:rsidR="00245B24" w:rsidRPr="000B1EEA">
        <w:rPr>
          <w:rFonts w:hint="eastAsia"/>
          <w:szCs w:val="24"/>
        </w:rPr>
        <w:t xml:space="preserve"> </w:t>
      </w:r>
      <w:r w:rsidR="00245B24" w:rsidRPr="000B1EEA">
        <w:rPr>
          <w:rFonts w:hint="eastAsia"/>
          <w:szCs w:val="24"/>
        </w:rPr>
        <w:t>牛刀小試</w:t>
      </w:r>
      <w:r w:rsidR="00245B24" w:rsidRPr="000B1EEA">
        <w:rPr>
          <w:rFonts w:hint="eastAsia"/>
          <w:szCs w:val="24"/>
        </w:rPr>
        <w:t>1</w:t>
      </w:r>
      <w:r w:rsidR="00245B24" w:rsidRPr="000B1EEA">
        <w:rPr>
          <w:szCs w:val="24"/>
        </w:rPr>
        <w:t>1</w:t>
      </w:r>
      <w:r w:rsidRPr="000B1EEA">
        <w:rPr>
          <w:rFonts w:ascii="微軟正黑體" w:eastAsia="微軟正黑體" w:hAnsi="微軟正黑體" w:hint="eastAsia"/>
          <w:color w:val="000000"/>
          <w:szCs w:val="24"/>
          <w:shd w:val="clear" w:color="auto" w:fill="FFFFFF"/>
        </w:rPr>
        <w:t>有關選擇權之敘述，下列何者錯誤？</w:t>
      </w:r>
    </w:p>
    <w:p w14:paraId="28F4071F" w14:textId="4F39766C" w:rsidR="0085171F" w:rsidRPr="000B1EEA" w:rsidRDefault="0085171F"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買方須支付權利金，賣方須繳交保證金(B) 預期標的商品價格上漲時，應買入賣權(C) 賣權履約價格愈高，權利金愈高(D) 到期時，其時間價值為零</w:t>
      </w:r>
    </w:p>
    <w:p w14:paraId="6A80F455" w14:textId="702A5EAE" w:rsidR="00C057CE" w:rsidRPr="000B1EEA" w:rsidRDefault="00C057CE" w:rsidP="0085171F">
      <w:pPr>
        <w:rPr>
          <w:rFonts w:ascii="微軟正黑體" w:eastAsia="微軟正黑體" w:hAnsi="微軟正黑體"/>
          <w:color w:val="000000"/>
          <w:szCs w:val="24"/>
          <w:shd w:val="clear" w:color="auto" w:fill="FFFFFF"/>
        </w:rPr>
      </w:pPr>
    </w:p>
    <w:p w14:paraId="247F3871" w14:textId="257C40CC" w:rsidR="00C057CE" w:rsidRPr="000B1EEA" w:rsidRDefault="00C057CE"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w:t>
      </w:r>
      <w:r w:rsidR="00A9649C" w:rsidRPr="000B1EEA">
        <w:rPr>
          <w:rFonts w:hint="eastAsia"/>
          <w:szCs w:val="24"/>
        </w:rPr>
        <w:t xml:space="preserve"> </w:t>
      </w:r>
      <w:r w:rsidR="00A9649C" w:rsidRPr="000B1EEA">
        <w:rPr>
          <w:rFonts w:hint="eastAsia"/>
          <w:szCs w:val="24"/>
        </w:rPr>
        <w:t>牛刀小試</w:t>
      </w:r>
      <w:r w:rsidR="00A9649C" w:rsidRPr="000B1EEA">
        <w:rPr>
          <w:rFonts w:hint="eastAsia"/>
          <w:szCs w:val="24"/>
        </w:rPr>
        <w:t>1</w:t>
      </w:r>
      <w:r w:rsidR="00A9649C" w:rsidRPr="000B1EEA">
        <w:rPr>
          <w:szCs w:val="24"/>
        </w:rPr>
        <w:t>2</w:t>
      </w:r>
      <w:r w:rsidRPr="000B1EEA">
        <w:rPr>
          <w:rFonts w:ascii="微軟正黑體" w:eastAsia="微軟正黑體" w:hAnsi="微軟正黑體" w:hint="eastAsia"/>
          <w:color w:val="000000"/>
          <w:szCs w:val="24"/>
          <w:shd w:val="clear" w:color="auto" w:fill="FFFFFF"/>
        </w:rPr>
        <w:t>下列有關選擇權的敘述，何者為真?</w:t>
      </w:r>
    </w:p>
    <w:p w14:paraId="53B0927C" w14:textId="77777777" w:rsidR="00C057CE" w:rsidRPr="000B1EEA" w:rsidRDefault="00C057CE"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(A)不管購買買權或賣權，均需支付賣方一定額度的權利金</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lastRenderedPageBreak/>
        <w:t>(B)不論交易 成立與否，此權利金均不退還</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(C)賣方需支付保證金</w:t>
      </w:r>
      <w:r w:rsidRPr="000B1EEA">
        <w:rPr>
          <w:rFonts w:ascii="微軟正黑體" w:eastAsia="微軟正黑體" w:hAnsi="微軟正黑體" w:hint="eastAsia"/>
          <w:color w:val="000000"/>
          <w:szCs w:val="24"/>
        </w:rPr>
        <w:br/>
      </w:r>
    </w:p>
    <w:p w14:paraId="33D277EC" w14:textId="1E679B45" w:rsidR="00C057CE" w:rsidRPr="000B1EEA" w:rsidRDefault="00C057CE"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(A)A與B</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(B)B與C</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(C)A與C</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 xml:space="preserve">(D)A,B與C </w:t>
      </w:r>
    </w:p>
    <w:p w14:paraId="1D12A969" w14:textId="33EF874F" w:rsidR="0085171F" w:rsidRPr="000B1EEA" w:rsidRDefault="0085171F" w:rsidP="0085171F">
      <w:pPr>
        <w:jc w:val="center"/>
        <w:rPr>
          <w:rFonts w:ascii="微軟正黑體" w:eastAsia="微軟正黑體" w:hAnsi="微軟正黑體"/>
          <w:color w:val="FF0000"/>
          <w:szCs w:val="24"/>
          <w:shd w:val="clear" w:color="auto" w:fill="FFFFFF"/>
        </w:rPr>
      </w:pPr>
      <w:r w:rsidRPr="000B1EEA">
        <w:rPr>
          <w:rFonts w:ascii="微軟正黑體" w:eastAsia="微軟正黑體" w:hAnsi="微軟正黑體" w:hint="eastAsia"/>
          <w:color w:val="FF0000"/>
          <w:szCs w:val="24"/>
          <w:shd w:val="clear" w:color="auto" w:fill="FFFFFF"/>
        </w:rPr>
        <w:t>交換契約(Swaps)</w:t>
      </w:r>
    </w:p>
    <w:p w14:paraId="011BC224" w14:textId="77777777" w:rsidR="0085171F" w:rsidRPr="000B1EEA" w:rsidRDefault="0085171F" w:rsidP="002F2A9B">
      <w:pPr>
        <w:numPr>
          <w:ilvl w:val="0"/>
          <w:numId w:val="11"/>
        </w:numPr>
        <w:jc w:val="center"/>
        <w:rPr>
          <w:rFonts w:ascii="微軟正黑體" w:eastAsia="微軟正黑體" w:hAnsi="微軟正黑體"/>
          <w:szCs w:val="24"/>
          <w:shd w:val="clear" w:color="auto" w:fill="FFFFFF"/>
        </w:rPr>
      </w:pPr>
      <w:r w:rsidRPr="000B1EEA">
        <w:rPr>
          <w:rFonts w:ascii="微軟正黑體" w:eastAsia="微軟正黑體" w:hAnsi="微軟正黑體" w:hint="eastAsia"/>
          <w:szCs w:val="24"/>
          <w:shd w:val="clear" w:color="auto" w:fill="FFFFFF"/>
        </w:rPr>
        <w:t>銀行或企業相互約定條件(幣別金額期間計息方式利率與匯率)將握有的資產或負債與對方交換的契約</w:t>
      </w:r>
    </w:p>
    <w:p w14:paraId="58194F62" w14:textId="2B6B4D2D" w:rsidR="0085171F" w:rsidRPr="000B1EEA" w:rsidRDefault="0085171F"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szCs w:val="24"/>
          <w:shd w:val="clear" w:color="auto" w:fill="FFFFFF"/>
        </w:rPr>
        <w:t xml:space="preserve"> </w:t>
      </w:r>
      <w:r w:rsidRPr="000B1EEA">
        <w:rPr>
          <w:rFonts w:ascii="微軟正黑體" w:eastAsia="微軟正黑體" w:hAnsi="微軟正黑體"/>
          <w:szCs w:val="24"/>
          <w:shd w:val="clear" w:color="auto" w:fill="FFFFFF"/>
        </w:rPr>
        <w:t xml:space="preserve">    </w:t>
      </w:r>
      <w:r w:rsidRPr="000B1EEA">
        <w:rPr>
          <w:rFonts w:ascii="微軟正黑體" w:eastAsia="微軟正黑體" w:hAnsi="微軟正黑體" w:hint="eastAsia"/>
          <w:color w:val="000000"/>
          <w:szCs w:val="24"/>
          <w:shd w:val="clear" w:color="auto" w:fill="FFFFFF"/>
        </w:rPr>
        <w:t>依標的資產不同有通貨交換利率交換及換匯等</w:t>
      </w:r>
    </w:p>
    <w:p w14:paraId="5E1BE3EB" w14:textId="4E7C74B7" w:rsidR="0085171F" w:rsidRPr="000B1EEA" w:rsidRDefault="0085171F"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在店頭市場以簽訂契約完成(與遠期契約相同)</w:t>
      </w:r>
    </w:p>
    <w:p w14:paraId="48CD2F5B" w14:textId="284FB27C" w:rsidR="0085171F" w:rsidRPr="000B1EEA" w:rsidRDefault="0085171F"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可分成利率交換契約、貨幣交換契約、商品交換契約、權益交換契約等(底下分述)</w:t>
      </w:r>
    </w:p>
    <w:p w14:paraId="045031F7" w14:textId="77777777" w:rsidR="0085171F" w:rsidRPr="000B1EEA" w:rsidRDefault="0085171F" w:rsidP="002F2A9B">
      <w:pPr>
        <w:numPr>
          <w:ilvl w:val="0"/>
          <w:numId w:val="12"/>
        </w:numPr>
        <w:jc w:val="cente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利率交換契約</w:t>
      </w:r>
    </w:p>
    <w:p w14:paraId="517E0132" w14:textId="6511730A" w:rsidR="0085171F" w:rsidRPr="000B1EEA" w:rsidRDefault="0085171F"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定義:</w:t>
      </w:r>
      <w:r w:rsidRPr="000B1EEA">
        <w:rPr>
          <w:rFonts w:hint="eastAsia"/>
          <w:szCs w:val="24"/>
        </w:rPr>
        <w:t xml:space="preserve"> </w:t>
      </w:r>
      <w:r w:rsidRPr="000B1EEA">
        <w:rPr>
          <w:rFonts w:ascii="微軟正黑體" w:eastAsia="微軟正黑體" w:hAnsi="微軟正黑體" w:hint="eastAsia"/>
          <w:color w:val="000000"/>
          <w:szCs w:val="24"/>
          <w:shd w:val="clear" w:color="auto" w:fill="FFFFFF"/>
        </w:rPr>
        <w:t>雙方約定在未來某一定期限內彼此交換一連串不同的利息支付契約</w:t>
      </w:r>
    </w:p>
    <w:p w14:paraId="7EB30EF5" w14:textId="3651CD5B" w:rsidR="007442D7" w:rsidRPr="000B1EEA" w:rsidRDefault="0085171F"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單純利率交換(plain vanilla interest rate swap)</w:t>
      </w:r>
      <w:r w:rsidR="007442D7" w:rsidRPr="000B1EEA">
        <w:rPr>
          <w:rFonts w:ascii="微軟正黑體" w:eastAsia="微軟正黑體" w:hAnsi="微軟正黑體"/>
          <w:color w:val="000000"/>
          <w:szCs w:val="24"/>
          <w:shd w:val="clear" w:color="auto" w:fill="FFFFFF"/>
        </w:rPr>
        <w:t>:</w:t>
      </w:r>
      <w:r w:rsidR="007442D7" w:rsidRPr="000B1EEA">
        <w:rPr>
          <w:rFonts w:hint="eastAsia"/>
          <w:szCs w:val="24"/>
        </w:rPr>
        <w:t xml:space="preserve"> </w:t>
      </w:r>
      <w:r w:rsidR="007442D7" w:rsidRPr="000B1EEA">
        <w:rPr>
          <w:rFonts w:ascii="微軟正黑體" w:eastAsia="微軟正黑體" w:hAnsi="微軟正黑體" w:hint="eastAsia"/>
          <w:color w:val="000000"/>
          <w:szCs w:val="24"/>
          <w:shd w:val="clear" w:color="auto" w:fill="FFFFFF"/>
        </w:rPr>
        <w:t>固定利率交換與浮動利率交換</w:t>
      </w:r>
    </w:p>
    <w:p w14:paraId="21B12D36" w14:textId="77777777" w:rsidR="001C50AE" w:rsidRPr="000B1EEA" w:rsidRDefault="001C50AE"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lastRenderedPageBreak/>
        <w:t>好處:(1)規避浮動利率風險(2)經比較利益降低借款成本</w:t>
      </w:r>
    </w:p>
    <w:p w14:paraId="0EF0B6D0" w14:textId="77777777" w:rsidR="001C50AE" w:rsidRPr="000B1EEA" w:rsidRDefault="001C50AE"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作為銀行或保險公司管理利率風險的工具</w:t>
      </w:r>
    </w:p>
    <w:p w14:paraId="43A1F2C6" w14:textId="77777777" w:rsidR="001C50AE" w:rsidRPr="000B1EEA" w:rsidRDefault="001C50AE"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作為企業改變其資產收益方式或負債融資方式的工具</w:t>
      </w:r>
    </w:p>
    <w:p w14:paraId="36EB6C06" w14:textId="2ACEAB0D" w:rsidR="001C50AE" w:rsidRPr="000B1EEA" w:rsidRDefault="001C50AE"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Ex.公司擁有浮動利率債券，若預期利率將來會下跌，可以進行利率交換，將收益由浮動便固定。</w:t>
      </w:r>
    </w:p>
    <w:p w14:paraId="5584DC80" w14:textId="7FCD4662" w:rsidR="00A9649C" w:rsidRPr="000B1EEA" w:rsidRDefault="00A9649C"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noProof/>
          <w:color w:val="000000"/>
          <w:szCs w:val="24"/>
          <w:shd w:val="clear" w:color="auto" w:fill="FFFFFF"/>
        </w:rPr>
        <w:drawing>
          <wp:inline distT="0" distB="0" distL="0" distR="0" wp14:anchorId="2A935CA9" wp14:editId="4B3D0A9F">
            <wp:extent cx="5274310" cy="289687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2896870"/>
                    </a:xfrm>
                    <a:prstGeom prst="rect">
                      <a:avLst/>
                    </a:prstGeom>
                  </pic:spPr>
                </pic:pic>
              </a:graphicData>
            </a:graphic>
          </wp:inline>
        </w:drawing>
      </w:r>
    </w:p>
    <w:p w14:paraId="01120887" w14:textId="5D7DF910" w:rsidR="00A9649C" w:rsidRPr="000B1EEA" w:rsidRDefault="00A9649C"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noProof/>
          <w:color w:val="000000"/>
          <w:szCs w:val="24"/>
          <w:shd w:val="clear" w:color="auto" w:fill="FFFFFF"/>
        </w:rPr>
        <w:drawing>
          <wp:inline distT="0" distB="0" distL="0" distR="0" wp14:anchorId="3FE229D4" wp14:editId="0B372473">
            <wp:extent cx="5274310" cy="2776220"/>
            <wp:effectExtent l="0" t="0" r="254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2776220"/>
                    </a:xfrm>
                    <a:prstGeom prst="rect">
                      <a:avLst/>
                    </a:prstGeom>
                  </pic:spPr>
                </pic:pic>
              </a:graphicData>
            </a:graphic>
          </wp:inline>
        </w:drawing>
      </w:r>
    </w:p>
    <w:p w14:paraId="44C8B7E0" w14:textId="49851496" w:rsidR="00A9649C" w:rsidRPr="000B1EEA" w:rsidRDefault="00A9649C" w:rsidP="002F2A9B">
      <w:pPr>
        <w:numPr>
          <w:ilvl w:val="0"/>
          <w:numId w:val="12"/>
        </w:numPr>
        <w:rPr>
          <w:rFonts w:ascii="微軟正黑體" w:eastAsia="微軟正黑體" w:hAnsi="微軟正黑體"/>
          <w:color w:val="000000"/>
          <w:szCs w:val="24"/>
          <w:shd w:val="clear" w:color="auto" w:fill="FFFFFF"/>
        </w:rPr>
      </w:pPr>
      <w:r w:rsidRPr="000B1EEA">
        <w:rPr>
          <w:rFonts w:ascii="微軟正黑體" w:eastAsia="微軟正黑體" w:hAnsi="微軟正黑體"/>
          <w:noProof/>
          <w:color w:val="000000"/>
          <w:szCs w:val="24"/>
          <w:shd w:val="clear" w:color="auto" w:fill="FFFFFF"/>
        </w:rPr>
        <w:lastRenderedPageBreak/>
        <w:drawing>
          <wp:inline distT="0" distB="0" distL="0" distR="0" wp14:anchorId="1173A333" wp14:editId="5037DB99">
            <wp:extent cx="5274310" cy="2243455"/>
            <wp:effectExtent l="0" t="0" r="254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2243455"/>
                    </a:xfrm>
                    <a:prstGeom prst="rect">
                      <a:avLst/>
                    </a:prstGeom>
                  </pic:spPr>
                </pic:pic>
              </a:graphicData>
            </a:graphic>
          </wp:inline>
        </w:drawing>
      </w:r>
    </w:p>
    <w:p w14:paraId="17966142" w14:textId="099754EF" w:rsidR="0085171F" w:rsidRPr="000B1EEA" w:rsidRDefault="001C50AE" w:rsidP="001C50AE">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w:t>
      </w:r>
      <w:r w:rsidR="00146458" w:rsidRPr="000B1EEA">
        <w:rPr>
          <w:rFonts w:hint="eastAsia"/>
          <w:szCs w:val="24"/>
        </w:rPr>
        <w:t xml:space="preserve"> </w:t>
      </w:r>
      <w:r w:rsidR="00146458" w:rsidRPr="000B1EEA">
        <w:rPr>
          <w:rFonts w:hint="eastAsia"/>
          <w:szCs w:val="24"/>
        </w:rPr>
        <w:t>牛刀小試</w:t>
      </w:r>
      <w:r w:rsidR="00146458" w:rsidRPr="000B1EEA">
        <w:rPr>
          <w:rFonts w:hint="eastAsia"/>
          <w:szCs w:val="24"/>
        </w:rPr>
        <w:t>1</w:t>
      </w:r>
      <w:r w:rsidR="00146458" w:rsidRPr="000B1EEA">
        <w:rPr>
          <w:szCs w:val="24"/>
        </w:rPr>
        <w:t>3</w:t>
      </w:r>
      <w:r w:rsidRPr="000B1EEA">
        <w:rPr>
          <w:rFonts w:ascii="微軟正黑體" w:eastAsia="微軟正黑體" w:hAnsi="微軟正黑體" w:hint="eastAsia"/>
          <w:color w:val="000000"/>
          <w:szCs w:val="24"/>
          <w:shd w:val="clear" w:color="auto" w:fill="FFFFFF"/>
        </w:rPr>
        <w:t>下列結構型商品連動標的，何者屬總體經濟指標？</w:t>
      </w:r>
    </w:p>
    <w:p w14:paraId="6CCFAB6B" w14:textId="1A0BCC84" w:rsidR="001C50AE" w:rsidRPr="000B1EEA" w:rsidRDefault="001C50AE" w:rsidP="001C50AE">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(A)個股價格(B)商品價格(C)利率水準(D)違約事件之發生</w:t>
      </w:r>
    </w:p>
    <w:p w14:paraId="568C781D" w14:textId="4C7CFB64" w:rsidR="00CD5C09" w:rsidRPr="000B1EEA" w:rsidRDefault="001C50AE"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xml:space="preserve">(    ) </w:t>
      </w:r>
      <w:r w:rsidR="00146458" w:rsidRPr="000B1EEA">
        <w:rPr>
          <w:rFonts w:hint="eastAsia"/>
          <w:szCs w:val="24"/>
        </w:rPr>
        <w:t>牛刀小試</w:t>
      </w:r>
      <w:r w:rsidR="00146458" w:rsidRPr="000B1EEA">
        <w:rPr>
          <w:rFonts w:hint="eastAsia"/>
          <w:szCs w:val="24"/>
        </w:rPr>
        <w:t>1</w:t>
      </w:r>
      <w:r w:rsidR="00146458" w:rsidRPr="000B1EEA">
        <w:rPr>
          <w:szCs w:val="24"/>
        </w:rPr>
        <w:t>4</w:t>
      </w:r>
      <w:r w:rsidRPr="000B1EEA">
        <w:rPr>
          <w:rFonts w:ascii="微軟正黑體" w:eastAsia="微軟正黑體" w:hAnsi="微軟正黑體" w:hint="eastAsia"/>
          <w:color w:val="000000"/>
          <w:szCs w:val="24"/>
          <w:shd w:val="clear" w:color="auto" w:fill="FFFFFF"/>
        </w:rPr>
        <w:t>下列何者非為遠期利率協定的主要特性？</w:t>
      </w:r>
    </w:p>
    <w:p w14:paraId="2019F7E4" w14:textId="694BD36D" w:rsidR="00CD5C09" w:rsidRPr="000B1EEA" w:rsidRDefault="00CD5C09" w:rsidP="002F2A9B">
      <w:pPr>
        <w:pStyle w:val="a3"/>
        <w:numPr>
          <w:ilvl w:val="0"/>
          <w:numId w:val="13"/>
        </w:numPr>
        <w:ind w:leftChars="0"/>
        <w:rPr>
          <w:rFonts w:ascii="微軟正黑體" w:eastAsia="微軟正黑體" w:hAnsi="微軟正黑體"/>
          <w:color w:val="000000"/>
          <w:shd w:val="clear" w:color="auto" w:fill="FFFFFF"/>
        </w:rPr>
      </w:pPr>
      <w:r w:rsidRPr="000B1EEA">
        <w:rPr>
          <w:rFonts w:ascii="微軟正黑體" w:eastAsia="微軟正黑體" w:hAnsi="微軟正黑體" w:hint="eastAsia"/>
          <w:color w:val="000000"/>
          <w:shd w:val="clear" w:color="auto" w:fill="FFFFFF"/>
        </w:rPr>
        <w:t>改善資產負債表膨脹現象(B)降低交割風險(C)表外交易(D)本金需作實體交割</w:t>
      </w:r>
    </w:p>
    <w:p w14:paraId="4E13E67F" w14:textId="05BF21F4" w:rsidR="00CD5C09" w:rsidRPr="000B1EEA" w:rsidRDefault="00CD5C09" w:rsidP="00146458">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w:t>
      </w:r>
      <w:r w:rsidR="00146458" w:rsidRPr="000B1EEA">
        <w:rPr>
          <w:rFonts w:hint="eastAsia"/>
          <w:szCs w:val="24"/>
        </w:rPr>
        <w:t xml:space="preserve"> </w:t>
      </w:r>
      <w:r w:rsidR="00146458" w:rsidRPr="000B1EEA">
        <w:rPr>
          <w:rFonts w:hint="eastAsia"/>
          <w:szCs w:val="24"/>
        </w:rPr>
        <w:t>牛刀小試</w:t>
      </w:r>
      <w:r w:rsidR="00146458" w:rsidRPr="000B1EEA">
        <w:rPr>
          <w:rFonts w:hint="eastAsia"/>
          <w:szCs w:val="24"/>
        </w:rPr>
        <w:t>1</w:t>
      </w:r>
      <w:r w:rsidR="00146458" w:rsidRPr="000B1EEA">
        <w:rPr>
          <w:szCs w:val="24"/>
        </w:rPr>
        <w:t>5</w:t>
      </w:r>
      <w:r w:rsidRPr="000B1EEA">
        <w:rPr>
          <w:rFonts w:ascii="微軟正黑體" w:eastAsia="微軟正黑體" w:hAnsi="微軟正黑體" w:hint="eastAsia"/>
          <w:color w:val="000000"/>
          <w:szCs w:val="24"/>
          <w:shd w:val="clear" w:color="auto" w:fill="FFFFFF"/>
        </w:rPr>
        <w:t>何謂「雲霄飛車型交換」？</w:t>
      </w:r>
    </w:p>
    <w:p w14:paraId="1CFAF54F" w14:textId="3E90C393" w:rsidR="00CD5C09" w:rsidRPr="000B1EEA" w:rsidRDefault="00CD5C09" w:rsidP="002F2A9B">
      <w:pPr>
        <w:pStyle w:val="a3"/>
        <w:numPr>
          <w:ilvl w:val="0"/>
          <w:numId w:val="14"/>
        </w:numPr>
        <w:ind w:leftChars="0"/>
        <w:rPr>
          <w:rStyle w:val="itemcontent"/>
          <w:rFonts w:ascii="微軟正黑體" w:eastAsia="微軟正黑體" w:hAnsi="微軟正黑體"/>
          <w:color w:val="000000"/>
        </w:rPr>
      </w:pPr>
      <w:r w:rsidRPr="000B1EEA">
        <w:rPr>
          <w:rStyle w:val="itemcontent"/>
          <w:rFonts w:ascii="微軟正黑體" w:eastAsia="微軟正黑體" w:hAnsi="微軟正黑體" w:hint="eastAsia"/>
          <w:color w:val="000000"/>
        </w:rPr>
        <w:t>企業融資時搭配「本金遞減交換」，償債時搭配「本金遞增交換」</w:t>
      </w:r>
      <w:r w:rsidRPr="000B1EEA">
        <w:rPr>
          <w:rFonts w:ascii="微軟正黑體" w:eastAsia="微軟正黑體" w:hAnsi="微軟正黑體" w:hint="eastAsia"/>
          <w:color w:val="000000"/>
        </w:rPr>
        <w:br/>
      </w:r>
      <w:r w:rsidRPr="000B1EEA">
        <w:rPr>
          <w:rStyle w:val="itemcontent"/>
          <w:rFonts w:ascii="微軟正黑體" w:eastAsia="微軟正黑體" w:hAnsi="微軟正黑體" w:hint="eastAsia"/>
          <w:color w:val="000000"/>
        </w:rPr>
        <w:t>(B)企業融資時搭配「本金遞增交換」，償債時搭配「本金遞減交換」</w:t>
      </w:r>
      <w:r w:rsidRPr="000B1EEA">
        <w:rPr>
          <w:rFonts w:ascii="微軟正黑體" w:eastAsia="微軟正黑體" w:hAnsi="微軟正黑體" w:hint="eastAsia"/>
          <w:color w:val="000000"/>
        </w:rPr>
        <w:br/>
      </w:r>
      <w:r w:rsidRPr="000B1EEA">
        <w:rPr>
          <w:rStyle w:val="itemcontent"/>
          <w:rFonts w:ascii="微軟正黑體" w:eastAsia="微軟正黑體" w:hAnsi="微軟正黑體" w:hint="eastAsia"/>
          <w:color w:val="000000"/>
        </w:rPr>
        <w:t>(C)企業融資前期搭配「本金遞減交換」，融資後期搭配「本金遞增交換」</w:t>
      </w:r>
      <w:r w:rsidRPr="000B1EEA">
        <w:rPr>
          <w:rFonts w:ascii="微軟正黑體" w:eastAsia="微軟正黑體" w:hAnsi="微軟正黑體" w:hint="eastAsia"/>
          <w:color w:val="000000"/>
        </w:rPr>
        <w:br/>
      </w:r>
      <w:r w:rsidRPr="000B1EEA">
        <w:rPr>
          <w:rStyle w:val="itemcontent"/>
          <w:rFonts w:ascii="微軟正黑體" w:eastAsia="微軟正黑體" w:hAnsi="微軟正黑體" w:hint="eastAsia"/>
          <w:color w:val="000000"/>
        </w:rPr>
        <w:t>(D)企業融資後，償債前期搭配「本金遞減交換」，償債後期搭配「本金遞增交換」</w:t>
      </w:r>
    </w:p>
    <w:p w14:paraId="52ABC281" w14:textId="636198C8" w:rsidR="001E0A8F" w:rsidRPr="000B1EEA" w:rsidRDefault="001E0A8F" w:rsidP="001E0A8F">
      <w:pPr>
        <w:ind w:left="390"/>
        <w:rPr>
          <w:rStyle w:val="itemcontent"/>
          <w:rFonts w:ascii="微軟正黑體" w:eastAsia="微軟正黑體" w:hAnsi="微軟正黑體"/>
          <w:color w:val="000000"/>
          <w:szCs w:val="24"/>
        </w:rPr>
      </w:pPr>
      <w:r w:rsidRPr="000B1EEA">
        <w:rPr>
          <w:rStyle w:val="itemcontent"/>
          <w:rFonts w:ascii="微軟正黑體" w:eastAsia="微軟正黑體" w:hAnsi="微軟正黑體" w:hint="eastAsia"/>
          <w:color w:val="000000"/>
          <w:szCs w:val="24"/>
        </w:rPr>
        <w:t>(    )</w:t>
      </w:r>
      <w:r w:rsidRPr="000B1EEA">
        <w:rPr>
          <w:rFonts w:ascii="微軟正黑體" w:eastAsia="微軟正黑體" w:hAnsi="微軟正黑體" w:hint="eastAsia"/>
          <w:color w:val="000000"/>
          <w:szCs w:val="24"/>
          <w:shd w:val="clear" w:color="auto" w:fill="FFFFFF"/>
        </w:rPr>
        <w:t xml:space="preserve"> 「鎖住利差交換」(Spread-lock Swap)之「利差」意指下列何項？(A)期間溢酬(B)交換溢酬(C)市場風險溢酬</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(D)違約風險溢酬</w:t>
      </w:r>
    </w:p>
    <w:p w14:paraId="4B1C876F" w14:textId="77777777" w:rsidR="004D4E46" w:rsidRPr="000B1EEA" w:rsidRDefault="004D4E46" w:rsidP="00CD5C09">
      <w:pPr>
        <w:ind w:left="390"/>
        <w:rPr>
          <w:rFonts w:ascii="Helvetica" w:hAnsi="Helvetica" w:cs="Helvetica"/>
          <w:color w:val="000000"/>
          <w:szCs w:val="24"/>
          <w:shd w:val="clear" w:color="auto" w:fill="FFFFFF"/>
        </w:rPr>
      </w:pPr>
    </w:p>
    <w:p w14:paraId="4B18EA4B" w14:textId="41D2B2A7" w:rsidR="00CD5C09" w:rsidRPr="000B1EEA" w:rsidRDefault="004D4E46" w:rsidP="00CD5C09">
      <w:pPr>
        <w:ind w:left="390"/>
        <w:rPr>
          <w:rFonts w:ascii="微軟正黑體" w:eastAsia="微軟正黑體" w:hAnsi="微軟正黑體"/>
          <w:color w:val="000000"/>
          <w:szCs w:val="24"/>
          <w:shd w:val="clear" w:color="auto" w:fill="FFFFFF"/>
        </w:rPr>
      </w:pPr>
      <w:r w:rsidRPr="000B1EEA">
        <w:rPr>
          <w:rFonts w:ascii="Helvetica" w:hAnsi="Helvetica" w:cs="Helvetica"/>
          <w:color w:val="000000"/>
          <w:szCs w:val="24"/>
          <w:shd w:val="clear" w:color="auto" w:fill="FFFFFF"/>
        </w:rPr>
        <w:t>利率選擇權係一種以利率為標的資產的選擇權，選擇權的買方在期初支付一筆權利金予賣方，並有權在契約到期日當天（歐式）或到期日之前任一時點（美式）執行此項權利，賣方並有義務履行此契約。透過利率選擇權的操作，可以幫助買方在支付權利金購買選擇權後，把利率成本或投資收益固定在一定水準之上，以避免利率不利於買方時所產生的損失。而賣出利率選擇權的賣方，可立即收取權利金，當利率變動不利於買方而導致其放棄執行此契約時，賣方所獲取的利益便是當時所收取到的權利金，但當利率變動不利於賣方時，則將產生損失。一般而言，利率選擇權可分為以下三種：</w:t>
      </w:r>
    </w:p>
    <w:p w14:paraId="08CBB394" w14:textId="5F82F639" w:rsidR="00CD5C09" w:rsidRPr="000B1EEA" w:rsidRDefault="004D4E46" w:rsidP="00CD5C09">
      <w:pPr>
        <w:pStyle w:val="a3"/>
        <w:ind w:leftChars="0" w:left="390"/>
        <w:rPr>
          <w:rFonts w:ascii="微軟正黑體" w:eastAsia="微軟正黑體" w:hAnsi="微軟正黑體"/>
          <w:color w:val="000000"/>
          <w:shd w:val="clear" w:color="auto" w:fill="FFFFFF"/>
        </w:rPr>
      </w:pPr>
      <w:r w:rsidRPr="000B1EEA">
        <w:rPr>
          <w:rFonts w:ascii="Helvetica" w:hAnsi="Helvetica" w:cs="Helvetica"/>
          <w:color w:val="000000"/>
          <w:shd w:val="clear" w:color="auto" w:fill="FFFFFF"/>
        </w:rPr>
        <w:t>利率上限（</w:t>
      </w:r>
      <w:r w:rsidRPr="000B1EEA">
        <w:rPr>
          <w:rFonts w:ascii="Helvetica" w:hAnsi="Helvetica" w:cs="Helvetica"/>
          <w:color w:val="000000"/>
          <w:shd w:val="clear" w:color="auto" w:fill="FFFFFF"/>
        </w:rPr>
        <w:t>Cap</w:t>
      </w:r>
      <w:r w:rsidRPr="000B1EEA">
        <w:rPr>
          <w:rFonts w:ascii="Helvetica" w:hAnsi="Helvetica" w:cs="Helvetica"/>
          <w:color w:val="000000"/>
          <w:shd w:val="clear" w:color="auto" w:fill="FFFFFF"/>
        </w:rPr>
        <w:t>）</w:t>
      </w:r>
      <w:r w:rsidRPr="000B1EEA">
        <w:rPr>
          <w:rFonts w:ascii="Helvetica" w:hAnsi="Helvetica" w:cs="Helvetica"/>
          <w:color w:val="000000"/>
        </w:rPr>
        <w:br/>
      </w:r>
      <w:r w:rsidRPr="000B1EEA">
        <w:rPr>
          <w:rFonts w:ascii="Helvetica" w:hAnsi="Helvetica" w:cs="Helvetica"/>
          <w:color w:val="000000"/>
          <w:shd w:val="clear" w:color="auto" w:fill="FFFFFF"/>
        </w:rPr>
        <w:t>即為利率買權，對以浮動利率進行籌資之企業而言，可將長期負債的利息成本完全鎖定在一定水準之下，將可有效規避企業利率風險。</w:t>
      </w:r>
      <w:r w:rsidRPr="000B1EEA">
        <w:rPr>
          <w:rFonts w:ascii="Helvetica" w:hAnsi="Helvetica" w:cs="Helvetica"/>
          <w:color w:val="000000"/>
        </w:rPr>
        <w:br/>
      </w:r>
      <w:r w:rsidRPr="000B1EEA">
        <w:rPr>
          <w:rFonts w:ascii="Helvetica" w:hAnsi="Helvetica" w:cs="Helvetica"/>
          <w:color w:val="000000"/>
          <w:shd w:val="clear" w:color="auto" w:fill="FFFFFF"/>
        </w:rPr>
        <w:t>利率下限（</w:t>
      </w:r>
      <w:r w:rsidRPr="000B1EEA">
        <w:rPr>
          <w:rFonts w:ascii="Helvetica" w:hAnsi="Helvetica" w:cs="Helvetica"/>
          <w:color w:val="000000"/>
          <w:shd w:val="clear" w:color="auto" w:fill="FFFFFF"/>
        </w:rPr>
        <w:t>Floor</w:t>
      </w:r>
      <w:r w:rsidRPr="000B1EEA">
        <w:rPr>
          <w:rFonts w:ascii="Helvetica" w:hAnsi="Helvetica" w:cs="Helvetica"/>
          <w:color w:val="000000"/>
          <w:shd w:val="clear" w:color="auto" w:fill="FFFFFF"/>
        </w:rPr>
        <w:t>）</w:t>
      </w:r>
      <w:r w:rsidRPr="000B1EEA">
        <w:rPr>
          <w:rFonts w:ascii="Helvetica" w:hAnsi="Helvetica" w:cs="Helvetica"/>
          <w:color w:val="000000"/>
        </w:rPr>
        <w:br/>
      </w:r>
      <w:r w:rsidRPr="000B1EEA">
        <w:rPr>
          <w:rFonts w:ascii="Helvetica" w:hAnsi="Helvetica" w:cs="Helvetica"/>
          <w:color w:val="000000"/>
          <w:shd w:val="clear" w:color="auto" w:fill="FFFFFF"/>
        </w:rPr>
        <w:t>即為利率賣權，可將長期投資資產利息收入鎖定在一定水準之上，可確保投資收益。</w:t>
      </w:r>
      <w:r w:rsidRPr="000B1EEA">
        <w:rPr>
          <w:rFonts w:ascii="Helvetica" w:hAnsi="Helvetica" w:cs="Helvetica"/>
          <w:color w:val="000000"/>
        </w:rPr>
        <w:br/>
      </w:r>
      <w:r w:rsidRPr="000B1EEA">
        <w:rPr>
          <w:rFonts w:ascii="Helvetica" w:hAnsi="Helvetica" w:cs="Helvetica"/>
          <w:color w:val="000000"/>
          <w:shd w:val="clear" w:color="auto" w:fill="FFFFFF"/>
        </w:rPr>
        <w:t>利率上下限（</w:t>
      </w:r>
      <w:r w:rsidRPr="000B1EEA">
        <w:rPr>
          <w:rFonts w:ascii="Helvetica" w:hAnsi="Helvetica" w:cs="Helvetica"/>
          <w:color w:val="000000"/>
          <w:shd w:val="clear" w:color="auto" w:fill="FFFFFF"/>
        </w:rPr>
        <w:t>Collar</w:t>
      </w:r>
      <w:r w:rsidRPr="000B1EEA">
        <w:rPr>
          <w:rFonts w:ascii="Helvetica" w:hAnsi="Helvetica" w:cs="Helvetica"/>
          <w:color w:val="000000"/>
          <w:shd w:val="clear" w:color="auto" w:fill="FFFFFF"/>
        </w:rPr>
        <w:t>）</w:t>
      </w:r>
      <w:r w:rsidRPr="000B1EEA">
        <w:rPr>
          <w:rFonts w:ascii="Helvetica" w:hAnsi="Helvetica" w:cs="Helvetica"/>
          <w:color w:val="000000"/>
        </w:rPr>
        <w:br/>
      </w:r>
      <w:r w:rsidRPr="000B1EEA">
        <w:rPr>
          <w:rFonts w:ascii="Helvetica" w:hAnsi="Helvetica" w:cs="Helvetica"/>
          <w:color w:val="000000"/>
          <w:shd w:val="clear" w:color="auto" w:fill="FFFFFF"/>
        </w:rPr>
        <w:t>即為利率上限與利率下限契約的組合，可將利率固定在一定範圍內，以達到避險的目的。</w:t>
      </w:r>
    </w:p>
    <w:p w14:paraId="0998ADC1" w14:textId="3A73B13B" w:rsidR="0085171F" w:rsidRPr="000B1EEA" w:rsidRDefault="0085171F" w:rsidP="0085171F">
      <w:pPr>
        <w:rPr>
          <w:rFonts w:ascii="微軟正黑體" w:eastAsia="微軟正黑體" w:hAnsi="微軟正黑體"/>
          <w:color w:val="000000"/>
          <w:szCs w:val="24"/>
          <w:shd w:val="clear" w:color="auto" w:fill="FFFFFF"/>
        </w:rPr>
      </w:pPr>
    </w:p>
    <w:p w14:paraId="0362F523" w14:textId="1F059E83" w:rsidR="00C057CE" w:rsidRPr="000B1EEA" w:rsidRDefault="00C057CE"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)持有標的資產（即期為多頭部位），並同時買入該標的資產的賣權，此交易策略稱為下列何者？(A)保護性賣權(protective put)策略(B)掩護性賣權(covered put)策略(C)反向保護性賣權策略(D)多頭價差策略</w:t>
      </w:r>
    </w:p>
    <w:p w14:paraId="359EBC0A" w14:textId="1552E883" w:rsidR="00C057CE" w:rsidRPr="000B1EEA" w:rsidRDefault="00C057CE" w:rsidP="0085171F">
      <w:pPr>
        <w:rPr>
          <w:rFonts w:ascii="微軟正黑體" w:eastAsia="微軟正黑體" w:hAnsi="微軟正黑體"/>
          <w:color w:val="000000"/>
          <w:szCs w:val="24"/>
          <w:shd w:val="clear" w:color="auto" w:fill="F5F5F5"/>
        </w:rPr>
      </w:pPr>
      <w:r w:rsidRPr="000B1EEA">
        <w:rPr>
          <w:rFonts w:ascii="微軟正黑體" w:eastAsia="微軟正黑體" w:hAnsi="微軟正黑體" w:hint="eastAsia"/>
          <w:color w:val="000000"/>
          <w:szCs w:val="24"/>
          <w:shd w:val="clear" w:color="auto" w:fill="FFFFFF"/>
        </w:rPr>
        <w:t>*</w:t>
      </w:r>
      <w:r w:rsidRPr="000B1EEA">
        <w:rPr>
          <w:rFonts w:ascii="微軟正黑體" w:eastAsia="微軟正黑體" w:hAnsi="微軟正黑體" w:hint="eastAsia"/>
          <w:color w:val="000000"/>
          <w:szCs w:val="24"/>
          <w:shd w:val="clear" w:color="auto" w:fill="F5F5F5"/>
        </w:rPr>
        <w:t>掩護性賣權→賣出賣權</w:t>
      </w:r>
    </w:p>
    <w:p w14:paraId="28AEA695" w14:textId="6E4B68FE" w:rsidR="00C057CE" w:rsidRPr="000B1EEA" w:rsidRDefault="00EC6E3B"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    )利率上下限(interest rate collar)簡稱為 Collar，下列敘述何者正確？</w:t>
      </w:r>
    </w:p>
    <w:p w14:paraId="5E07B94E" w14:textId="44FE558F" w:rsidR="00EC6E3B" w:rsidRDefault="00EC6E3B" w:rsidP="0085171F">
      <w:pPr>
        <w:rPr>
          <w:rFonts w:ascii="微軟正黑體" w:eastAsia="微軟正黑體" w:hAnsi="微軟正黑體"/>
          <w:color w:val="000000"/>
          <w:szCs w:val="24"/>
          <w:shd w:val="clear" w:color="auto" w:fill="FFFFFF"/>
        </w:rPr>
      </w:pPr>
      <w:r w:rsidRPr="000B1EEA">
        <w:rPr>
          <w:rFonts w:ascii="微軟正黑體" w:eastAsia="微軟正黑體" w:hAnsi="微軟正黑體" w:hint="eastAsia"/>
          <w:color w:val="000000"/>
          <w:szCs w:val="24"/>
          <w:shd w:val="clear" w:color="auto" w:fill="FFFFFF"/>
        </w:rPr>
        <w:t>(A)「利率上下限」是同時買進一個「利率上限」，以及買進一個「利率下限」</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(B)「利率上下限」是同時賣出一個「利率上限」，以及賣出一個「利率下限」</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(C)「利率上下限」是同時買進一個「利率上限」，以及賣出一個「利率下限」</w:t>
      </w:r>
      <w:r w:rsidRPr="000B1EEA">
        <w:rPr>
          <w:rFonts w:ascii="微軟正黑體" w:eastAsia="微軟正黑體" w:hAnsi="微軟正黑體" w:hint="eastAsia"/>
          <w:color w:val="000000"/>
          <w:szCs w:val="24"/>
        </w:rPr>
        <w:br/>
      </w:r>
      <w:r w:rsidRPr="000B1EEA">
        <w:rPr>
          <w:rFonts w:ascii="微軟正黑體" w:eastAsia="微軟正黑體" w:hAnsi="微軟正黑體" w:hint="eastAsia"/>
          <w:color w:val="000000"/>
          <w:szCs w:val="24"/>
          <w:shd w:val="clear" w:color="auto" w:fill="FFFFFF"/>
        </w:rPr>
        <w:t>(D)「利率上下限」是同時賣出一個「利率上限」，以及買進一個「利率下限」</w:t>
      </w:r>
    </w:p>
    <w:p w14:paraId="7B1741C0" w14:textId="77777777" w:rsidR="00D537CC" w:rsidRPr="00186AC5" w:rsidRDefault="00D537CC" w:rsidP="00D537CC">
      <w:pPr>
        <w:jc w:val="center"/>
        <w:rPr>
          <w:szCs w:val="24"/>
        </w:rPr>
      </w:pPr>
      <w:r w:rsidRPr="00186AC5">
        <w:rPr>
          <w:rFonts w:hint="eastAsia"/>
          <w:szCs w:val="24"/>
        </w:rPr>
        <w:lastRenderedPageBreak/>
        <w:t>雙元貨幣</w:t>
      </w:r>
    </w:p>
    <w:p w14:paraId="46426C51" w14:textId="77777777" w:rsidR="00D537CC" w:rsidRPr="00186AC5" w:rsidRDefault="00D537CC" w:rsidP="002F2A9B">
      <w:pPr>
        <w:numPr>
          <w:ilvl w:val="0"/>
          <w:numId w:val="17"/>
        </w:numPr>
        <w:rPr>
          <w:szCs w:val="24"/>
        </w:rPr>
      </w:pPr>
      <w:r w:rsidRPr="00186AC5">
        <w:rPr>
          <w:rFonts w:hint="eastAsia"/>
          <w:b/>
          <w:bCs/>
          <w:szCs w:val="24"/>
        </w:rPr>
        <w:t>外幣</w:t>
      </w:r>
      <w:r w:rsidRPr="00186AC5">
        <w:rPr>
          <w:rFonts w:hint="eastAsia"/>
          <w:b/>
          <w:bCs/>
          <w:szCs w:val="24"/>
        </w:rPr>
        <w:t xml:space="preserve"> </w:t>
      </w:r>
      <w:r w:rsidRPr="00186AC5">
        <w:rPr>
          <w:rFonts w:hint="eastAsia"/>
          <w:b/>
          <w:bCs/>
          <w:szCs w:val="24"/>
        </w:rPr>
        <w:t>定存</w:t>
      </w:r>
      <w:r w:rsidRPr="00186AC5">
        <w:rPr>
          <w:rFonts w:hint="eastAsia"/>
          <w:b/>
          <w:bCs/>
          <w:szCs w:val="24"/>
        </w:rPr>
        <w:t>+</w:t>
      </w:r>
      <w:r w:rsidRPr="00186AC5">
        <w:rPr>
          <w:rFonts w:hint="eastAsia"/>
          <w:b/>
          <w:bCs/>
          <w:szCs w:val="24"/>
        </w:rPr>
        <w:t>賣出連結其他外幣</w:t>
      </w:r>
      <w:r w:rsidRPr="00186AC5">
        <w:rPr>
          <w:rFonts w:hint="eastAsia"/>
          <w:b/>
          <w:bCs/>
          <w:szCs w:val="24"/>
        </w:rPr>
        <w:t xml:space="preserve"> </w:t>
      </w:r>
      <w:r w:rsidRPr="00186AC5">
        <w:rPr>
          <w:rFonts w:hint="eastAsia"/>
          <w:b/>
          <w:bCs/>
          <w:szCs w:val="24"/>
        </w:rPr>
        <w:t>選擇權</w:t>
      </w:r>
      <w:r w:rsidRPr="00186AC5">
        <w:rPr>
          <w:rFonts w:hint="eastAsia"/>
          <w:b/>
          <w:bCs/>
          <w:szCs w:val="24"/>
        </w:rPr>
        <w:t>(</w:t>
      </w:r>
      <w:r w:rsidRPr="00186AC5">
        <w:rPr>
          <w:rFonts w:hint="eastAsia"/>
          <w:b/>
          <w:bCs/>
          <w:szCs w:val="24"/>
        </w:rPr>
        <w:t>賣出買權</w:t>
      </w:r>
      <w:r w:rsidRPr="00186AC5">
        <w:rPr>
          <w:rFonts w:hint="eastAsia"/>
          <w:b/>
          <w:bCs/>
          <w:szCs w:val="24"/>
        </w:rPr>
        <w:t>/</w:t>
      </w:r>
      <w:r w:rsidRPr="00186AC5">
        <w:rPr>
          <w:rFonts w:hint="eastAsia"/>
          <w:b/>
          <w:bCs/>
          <w:szCs w:val="24"/>
        </w:rPr>
        <w:t>賣出賣權</w:t>
      </w:r>
      <w:r w:rsidRPr="00186AC5">
        <w:rPr>
          <w:rFonts w:hint="eastAsia"/>
          <w:b/>
          <w:bCs/>
          <w:szCs w:val="24"/>
        </w:rPr>
        <w:t>)</w:t>
      </w:r>
    </w:p>
    <w:p w14:paraId="7D424C25" w14:textId="77777777" w:rsidR="00D537CC" w:rsidRPr="00186AC5" w:rsidRDefault="00D537CC" w:rsidP="00D537CC">
      <w:pPr>
        <w:ind w:left="720"/>
        <w:rPr>
          <w:szCs w:val="24"/>
        </w:rPr>
      </w:pPr>
      <w:r w:rsidRPr="00186AC5">
        <w:rPr>
          <w:rFonts w:hint="eastAsia"/>
          <w:b/>
          <w:bCs/>
          <w:szCs w:val="24"/>
        </w:rPr>
        <w:t xml:space="preserve">                 </w:t>
      </w:r>
      <w:r w:rsidRPr="00186AC5">
        <w:rPr>
          <w:rFonts w:hint="eastAsia"/>
          <w:b/>
          <w:bCs/>
          <w:szCs w:val="24"/>
        </w:rPr>
        <w:t>收益來源</w:t>
      </w:r>
      <w:r w:rsidRPr="00186AC5">
        <w:rPr>
          <w:rFonts w:hint="eastAsia"/>
          <w:b/>
          <w:bCs/>
          <w:szCs w:val="24"/>
        </w:rPr>
        <w:t>:</w:t>
      </w:r>
    </w:p>
    <w:p w14:paraId="737016C8" w14:textId="77777777" w:rsidR="00D537CC" w:rsidRPr="00186AC5" w:rsidRDefault="00D537CC" w:rsidP="002F2A9B">
      <w:pPr>
        <w:numPr>
          <w:ilvl w:val="0"/>
          <w:numId w:val="18"/>
        </w:numPr>
        <w:rPr>
          <w:szCs w:val="24"/>
        </w:rPr>
      </w:pPr>
      <w:r w:rsidRPr="00186AC5">
        <w:rPr>
          <w:rFonts w:hint="eastAsia"/>
          <w:b/>
          <w:bCs/>
          <w:szCs w:val="24"/>
        </w:rPr>
        <w:t>定存固定收益</w:t>
      </w:r>
      <w:r w:rsidRPr="00186AC5">
        <w:rPr>
          <w:rFonts w:hint="eastAsia"/>
          <w:b/>
          <w:bCs/>
          <w:szCs w:val="24"/>
        </w:rPr>
        <w:t>(</w:t>
      </w:r>
      <w:r w:rsidRPr="00186AC5">
        <w:rPr>
          <w:rFonts w:hint="eastAsia"/>
          <w:b/>
          <w:bCs/>
          <w:szCs w:val="24"/>
        </w:rPr>
        <w:t>牌告</w:t>
      </w:r>
      <w:r w:rsidRPr="00186AC5">
        <w:rPr>
          <w:rFonts w:hint="eastAsia"/>
          <w:b/>
          <w:bCs/>
          <w:szCs w:val="24"/>
        </w:rPr>
        <w:t>)~~A</w:t>
      </w:r>
    </w:p>
    <w:p w14:paraId="2E26F3DD" w14:textId="77777777" w:rsidR="00D537CC" w:rsidRPr="00186AC5" w:rsidRDefault="00D537CC" w:rsidP="002F2A9B">
      <w:pPr>
        <w:numPr>
          <w:ilvl w:val="0"/>
          <w:numId w:val="18"/>
        </w:numPr>
        <w:rPr>
          <w:szCs w:val="24"/>
        </w:rPr>
      </w:pPr>
      <w:r w:rsidRPr="00186AC5">
        <w:rPr>
          <w:rFonts w:hint="eastAsia"/>
          <w:b/>
          <w:bCs/>
          <w:szCs w:val="24"/>
        </w:rPr>
        <w:t>收選擇權權利金</w:t>
      </w:r>
      <w:r w:rsidRPr="00186AC5">
        <w:rPr>
          <w:rFonts w:hint="eastAsia"/>
          <w:b/>
          <w:bCs/>
          <w:szCs w:val="24"/>
        </w:rPr>
        <w:t>(</w:t>
      </w:r>
      <w:r w:rsidRPr="00186AC5">
        <w:rPr>
          <w:rFonts w:hint="eastAsia"/>
          <w:b/>
          <w:bCs/>
          <w:szCs w:val="24"/>
        </w:rPr>
        <w:t>賣出選擇權所以收權利金</w:t>
      </w:r>
      <w:r w:rsidRPr="00186AC5">
        <w:rPr>
          <w:rFonts w:hint="eastAsia"/>
          <w:b/>
          <w:bCs/>
          <w:szCs w:val="24"/>
        </w:rPr>
        <w:t>)~~~B</w:t>
      </w:r>
    </w:p>
    <w:p w14:paraId="27662CD8" w14:textId="77777777" w:rsidR="00D537CC" w:rsidRPr="00186AC5" w:rsidRDefault="00D537CC" w:rsidP="002F2A9B">
      <w:pPr>
        <w:numPr>
          <w:ilvl w:val="1"/>
          <w:numId w:val="18"/>
        </w:numPr>
        <w:ind w:left="960" w:hanging="480"/>
        <w:rPr>
          <w:szCs w:val="24"/>
        </w:rPr>
      </w:pPr>
      <w:r w:rsidRPr="00186AC5">
        <w:rPr>
          <w:rFonts w:hint="eastAsia"/>
          <w:b/>
          <w:bCs/>
          <w:szCs w:val="24"/>
        </w:rPr>
        <w:t>要將此權利金收益年利化</w:t>
      </w:r>
    </w:p>
    <w:p w14:paraId="15D31FDB" w14:textId="77777777" w:rsidR="00D537CC" w:rsidRPr="00186AC5" w:rsidRDefault="00D537CC" w:rsidP="002F2A9B">
      <w:pPr>
        <w:numPr>
          <w:ilvl w:val="0"/>
          <w:numId w:val="18"/>
        </w:numPr>
        <w:rPr>
          <w:szCs w:val="24"/>
        </w:rPr>
      </w:pPr>
      <w:r w:rsidRPr="00186AC5">
        <w:rPr>
          <w:rFonts w:hint="eastAsia"/>
          <w:b/>
          <w:bCs/>
          <w:szCs w:val="24"/>
        </w:rPr>
        <w:t>若要算報酬率</w:t>
      </w:r>
    </w:p>
    <w:p w14:paraId="5F79CFAD" w14:textId="77777777" w:rsidR="00D537CC" w:rsidRPr="00186AC5" w:rsidRDefault="00D537CC" w:rsidP="002F2A9B">
      <w:pPr>
        <w:numPr>
          <w:ilvl w:val="0"/>
          <w:numId w:val="18"/>
        </w:numPr>
        <w:rPr>
          <w:szCs w:val="24"/>
        </w:rPr>
      </w:pPr>
      <w:r w:rsidRPr="00186AC5">
        <w:rPr>
          <w:rFonts w:hint="eastAsia"/>
          <w:b/>
          <w:bCs/>
          <w:szCs w:val="24"/>
        </w:rPr>
        <w:t>(A+B)/</w:t>
      </w:r>
      <w:r w:rsidRPr="00186AC5">
        <w:rPr>
          <w:rFonts w:hint="eastAsia"/>
          <w:b/>
          <w:bCs/>
          <w:szCs w:val="24"/>
        </w:rPr>
        <w:t>本金</w:t>
      </w:r>
    </w:p>
    <w:p w14:paraId="5F2105C0" w14:textId="77777777" w:rsidR="00D537CC" w:rsidRPr="00186AC5" w:rsidRDefault="00D537CC" w:rsidP="002F2A9B">
      <w:pPr>
        <w:numPr>
          <w:ilvl w:val="0"/>
          <w:numId w:val="18"/>
        </w:numPr>
        <w:rPr>
          <w:szCs w:val="24"/>
        </w:rPr>
      </w:pPr>
      <w:r w:rsidRPr="00186AC5">
        <w:rPr>
          <w:rFonts w:hint="eastAsia"/>
          <w:b/>
          <w:bCs/>
          <w:szCs w:val="24"/>
        </w:rPr>
        <w:t>投資收益率在發行時以固定</w:t>
      </w:r>
    </w:p>
    <w:p w14:paraId="10E671CB" w14:textId="77777777" w:rsidR="00D537CC" w:rsidRPr="00186AC5" w:rsidRDefault="00D537CC" w:rsidP="002F2A9B">
      <w:pPr>
        <w:numPr>
          <w:ilvl w:val="0"/>
          <w:numId w:val="18"/>
        </w:numPr>
        <w:rPr>
          <w:szCs w:val="24"/>
        </w:rPr>
      </w:pPr>
      <w:r w:rsidRPr="00186AC5">
        <w:rPr>
          <w:rFonts w:hint="eastAsia"/>
          <w:b/>
          <w:bCs/>
          <w:szCs w:val="24"/>
        </w:rPr>
        <w:t>到期可能被轉換成弱勢貨幣</w:t>
      </w:r>
    </w:p>
    <w:p w14:paraId="73A82075" w14:textId="77777777" w:rsidR="00D537CC" w:rsidRPr="00186AC5" w:rsidRDefault="00D537CC" w:rsidP="00D537CC">
      <w:pPr>
        <w:ind w:left="360"/>
        <w:rPr>
          <w:b/>
          <w:bCs/>
          <w:szCs w:val="24"/>
        </w:rPr>
      </w:pPr>
      <w:r w:rsidRPr="00186AC5">
        <w:rPr>
          <w:rFonts w:hint="eastAsia"/>
          <w:b/>
          <w:bCs/>
          <w:szCs w:val="24"/>
        </w:rPr>
        <w:t xml:space="preserve">                     </w:t>
      </w:r>
      <w:r w:rsidRPr="00186AC5">
        <w:rPr>
          <w:rFonts w:hint="eastAsia"/>
          <w:b/>
          <w:bCs/>
          <w:szCs w:val="24"/>
        </w:rPr>
        <w:t>轉換時</w:t>
      </w:r>
    </w:p>
    <w:p w14:paraId="13F20CB0" w14:textId="77777777" w:rsidR="00D537CC" w:rsidRPr="00186AC5" w:rsidRDefault="00D537CC" w:rsidP="002F2A9B">
      <w:pPr>
        <w:numPr>
          <w:ilvl w:val="0"/>
          <w:numId w:val="19"/>
        </w:numPr>
        <w:rPr>
          <w:szCs w:val="24"/>
        </w:rPr>
      </w:pPr>
      <w:r w:rsidRPr="00186AC5">
        <w:rPr>
          <w:rFonts w:hint="eastAsia"/>
          <w:b/>
          <w:bCs/>
          <w:szCs w:val="24"/>
        </w:rPr>
        <w:t>原存入本金將依約定匯率</w:t>
      </w:r>
      <w:r w:rsidRPr="00186AC5">
        <w:rPr>
          <w:rFonts w:hint="eastAsia"/>
          <w:b/>
          <w:bCs/>
          <w:szCs w:val="24"/>
        </w:rPr>
        <w:t>(</w:t>
      </w:r>
      <w:r w:rsidRPr="00186AC5">
        <w:rPr>
          <w:rFonts w:hint="eastAsia"/>
          <w:b/>
          <w:bCs/>
          <w:szCs w:val="24"/>
        </w:rPr>
        <w:t>轉換價格</w:t>
      </w:r>
      <w:r w:rsidRPr="00186AC5">
        <w:rPr>
          <w:rFonts w:hint="eastAsia"/>
          <w:b/>
          <w:bCs/>
          <w:szCs w:val="24"/>
        </w:rPr>
        <w:t>)</w:t>
      </w:r>
      <w:r w:rsidRPr="00186AC5">
        <w:rPr>
          <w:rFonts w:hint="eastAsia"/>
          <w:b/>
          <w:bCs/>
          <w:szCs w:val="24"/>
        </w:rPr>
        <w:t>被轉換成另一種貨幣</w:t>
      </w:r>
      <w:r w:rsidRPr="00186AC5">
        <w:rPr>
          <w:rFonts w:hint="eastAsia"/>
          <w:b/>
          <w:bCs/>
          <w:szCs w:val="24"/>
        </w:rPr>
        <w:t xml:space="preserve"> </w:t>
      </w:r>
    </w:p>
    <w:p w14:paraId="47DD69DE" w14:textId="77777777" w:rsidR="00D537CC" w:rsidRPr="00186AC5" w:rsidRDefault="00D537CC" w:rsidP="002F2A9B">
      <w:pPr>
        <w:numPr>
          <w:ilvl w:val="0"/>
          <w:numId w:val="19"/>
        </w:numPr>
        <w:rPr>
          <w:szCs w:val="24"/>
        </w:rPr>
      </w:pPr>
      <w:r w:rsidRPr="00186AC5">
        <w:rPr>
          <w:rFonts w:hint="eastAsia"/>
          <w:b/>
          <w:bCs/>
          <w:szCs w:val="24"/>
        </w:rPr>
        <w:t>當被轉換成的貨幣貶值時將造成本金損失</w:t>
      </w:r>
    </w:p>
    <w:p w14:paraId="143350C1" w14:textId="77777777" w:rsidR="00D537CC" w:rsidRPr="00186AC5" w:rsidRDefault="00D537CC" w:rsidP="002F2A9B">
      <w:pPr>
        <w:numPr>
          <w:ilvl w:val="0"/>
          <w:numId w:val="19"/>
        </w:numPr>
        <w:rPr>
          <w:szCs w:val="24"/>
        </w:rPr>
      </w:pPr>
      <w:r w:rsidRPr="00186AC5">
        <w:rPr>
          <w:rFonts w:hint="eastAsia"/>
          <w:b/>
          <w:bCs/>
          <w:szCs w:val="24"/>
        </w:rPr>
        <w:t>若被轉換成的貨幣升值將有資本利得</w:t>
      </w:r>
    </w:p>
    <w:p w14:paraId="0FADAD32" w14:textId="77777777" w:rsidR="00D537CC" w:rsidRPr="00186AC5" w:rsidRDefault="00D537CC" w:rsidP="002F2A9B">
      <w:pPr>
        <w:numPr>
          <w:ilvl w:val="0"/>
          <w:numId w:val="19"/>
        </w:numPr>
        <w:rPr>
          <w:szCs w:val="24"/>
        </w:rPr>
      </w:pPr>
      <w:r w:rsidRPr="00186AC5">
        <w:rPr>
          <w:rFonts w:hint="eastAsia"/>
          <w:b/>
          <w:bCs/>
          <w:szCs w:val="24"/>
        </w:rPr>
        <w:t>是一種保息不保本的商品</w:t>
      </w:r>
    </w:p>
    <w:p w14:paraId="14DA09AB" w14:textId="77777777" w:rsidR="00D537CC" w:rsidRPr="00186AC5" w:rsidRDefault="00D537CC" w:rsidP="00D537CC">
      <w:pPr>
        <w:ind w:left="720"/>
        <w:rPr>
          <w:b/>
          <w:bCs/>
          <w:szCs w:val="24"/>
        </w:rPr>
      </w:pPr>
      <w:r w:rsidRPr="00186AC5">
        <w:rPr>
          <w:rFonts w:hint="eastAsia"/>
          <w:b/>
          <w:bCs/>
          <w:szCs w:val="24"/>
        </w:rPr>
        <w:t xml:space="preserve">                      </w:t>
      </w:r>
      <w:r w:rsidRPr="00186AC5">
        <w:rPr>
          <w:rFonts w:hint="eastAsia"/>
          <w:b/>
          <w:bCs/>
          <w:szCs w:val="24"/>
        </w:rPr>
        <w:t>雙元組合商品</w:t>
      </w:r>
    </w:p>
    <w:p w14:paraId="0BB1A8EF" w14:textId="77777777" w:rsidR="00D537CC" w:rsidRPr="00186AC5" w:rsidRDefault="00D537CC" w:rsidP="002F2A9B">
      <w:pPr>
        <w:numPr>
          <w:ilvl w:val="0"/>
          <w:numId w:val="20"/>
        </w:numPr>
        <w:rPr>
          <w:szCs w:val="24"/>
        </w:rPr>
      </w:pPr>
      <w:r w:rsidRPr="00186AC5">
        <w:rPr>
          <w:rFonts w:hint="eastAsia"/>
          <w:b/>
          <w:bCs/>
          <w:szCs w:val="24"/>
        </w:rPr>
        <w:t>因賣出選擇權所以收益可提高但本金有可能被轉換</w:t>
      </w:r>
    </w:p>
    <w:p w14:paraId="39AA9B10" w14:textId="77777777" w:rsidR="00D537CC" w:rsidRPr="00186AC5" w:rsidRDefault="00D537CC" w:rsidP="00D537CC">
      <w:pPr>
        <w:ind w:left="720"/>
        <w:rPr>
          <w:b/>
          <w:bCs/>
          <w:szCs w:val="24"/>
        </w:rPr>
      </w:pPr>
      <w:r w:rsidRPr="00186AC5">
        <w:rPr>
          <w:rFonts w:hint="eastAsia"/>
          <w:b/>
          <w:bCs/>
          <w:szCs w:val="24"/>
        </w:rPr>
        <w:t>*</w:t>
      </w:r>
      <w:r w:rsidRPr="00186AC5">
        <w:rPr>
          <w:rFonts w:hint="eastAsia"/>
          <w:b/>
          <w:bCs/>
          <w:szCs w:val="24"/>
        </w:rPr>
        <w:t>有匯兌風險但不一定會發生</w:t>
      </w:r>
    </w:p>
    <w:p w14:paraId="610B7E2A" w14:textId="77777777" w:rsidR="00D537CC" w:rsidRPr="00186AC5" w:rsidRDefault="00D537CC" w:rsidP="002F2A9B">
      <w:pPr>
        <w:numPr>
          <w:ilvl w:val="0"/>
          <w:numId w:val="21"/>
        </w:numPr>
        <w:rPr>
          <w:b/>
          <w:bCs/>
          <w:szCs w:val="24"/>
        </w:rPr>
      </w:pPr>
      <w:r w:rsidRPr="00186AC5">
        <w:rPr>
          <w:rFonts w:hint="eastAsia"/>
          <w:b/>
          <w:bCs/>
          <w:szCs w:val="24"/>
        </w:rPr>
        <w:t>對賣權而言</w:t>
      </w:r>
    </w:p>
    <w:p w14:paraId="10F40ACB" w14:textId="77777777" w:rsidR="00D537CC" w:rsidRPr="00186AC5" w:rsidRDefault="00D537CC" w:rsidP="00D537CC">
      <w:pPr>
        <w:ind w:left="360"/>
        <w:rPr>
          <w:b/>
          <w:bCs/>
          <w:szCs w:val="24"/>
        </w:rPr>
      </w:pPr>
      <w:r w:rsidRPr="00186AC5">
        <w:rPr>
          <w:rFonts w:hint="eastAsia"/>
          <w:b/>
          <w:bCs/>
          <w:szCs w:val="24"/>
        </w:rPr>
        <w:t>*</w:t>
      </w:r>
      <w:r w:rsidRPr="00186AC5">
        <w:rPr>
          <w:rFonts w:hint="eastAsia"/>
          <w:b/>
          <w:bCs/>
          <w:szCs w:val="24"/>
        </w:rPr>
        <w:t>當外匯價格下跌到低於履約價稱為“價內”</w:t>
      </w:r>
    </w:p>
    <w:p w14:paraId="7D4ED90C" w14:textId="77777777" w:rsidR="00D537CC" w:rsidRPr="00186AC5" w:rsidRDefault="00D537CC" w:rsidP="00D537CC">
      <w:pPr>
        <w:rPr>
          <w:b/>
          <w:bCs/>
          <w:szCs w:val="24"/>
        </w:rPr>
      </w:pPr>
      <w:r w:rsidRPr="00186AC5">
        <w:rPr>
          <w:rFonts w:hint="eastAsia"/>
          <w:b/>
          <w:bCs/>
          <w:szCs w:val="24"/>
        </w:rPr>
        <w:t xml:space="preserve">   </w:t>
      </w:r>
      <w:r w:rsidRPr="00186AC5">
        <w:rPr>
          <w:rFonts w:hint="eastAsia"/>
          <w:b/>
          <w:bCs/>
          <w:szCs w:val="24"/>
        </w:rPr>
        <w:t>當外匯價格上揚到高於履約價稱為“價外”</w:t>
      </w:r>
    </w:p>
    <w:p w14:paraId="54E99041" w14:textId="77777777" w:rsidR="00D537CC" w:rsidRPr="00186AC5" w:rsidRDefault="00D537CC" w:rsidP="00D537CC">
      <w:pPr>
        <w:rPr>
          <w:b/>
          <w:bCs/>
          <w:szCs w:val="24"/>
        </w:rPr>
      </w:pPr>
      <w:r w:rsidRPr="00186AC5">
        <w:rPr>
          <w:rFonts w:hint="eastAsia"/>
          <w:b/>
          <w:bCs/>
          <w:szCs w:val="24"/>
        </w:rPr>
        <w:t xml:space="preserve">   </w:t>
      </w:r>
      <w:r w:rsidRPr="00186AC5">
        <w:rPr>
          <w:rFonts w:hint="eastAsia"/>
          <w:b/>
          <w:bCs/>
          <w:szCs w:val="24"/>
        </w:rPr>
        <w:t>當外匯價格等於履約價稱為“價平”</w:t>
      </w:r>
    </w:p>
    <w:p w14:paraId="1F4FE0DC" w14:textId="77777777" w:rsidR="00D537CC" w:rsidRPr="00186AC5" w:rsidRDefault="00D537CC" w:rsidP="00D537CC">
      <w:pPr>
        <w:rPr>
          <w:b/>
          <w:bCs/>
          <w:szCs w:val="24"/>
        </w:rPr>
      </w:pPr>
      <w:r w:rsidRPr="00186AC5">
        <w:rPr>
          <w:rFonts w:hint="eastAsia"/>
          <w:b/>
          <w:bCs/>
          <w:noProof/>
          <w:szCs w:val="24"/>
        </w:rPr>
        <w:drawing>
          <wp:inline distT="0" distB="0" distL="0" distR="0" wp14:anchorId="22CA4D77" wp14:editId="460A8A53">
            <wp:extent cx="5315468" cy="336232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jpg"/>
                    <pic:cNvPicPr/>
                  </pic:nvPicPr>
                  <pic:blipFill>
                    <a:blip r:embed="rId21">
                      <a:extLst>
                        <a:ext uri="{28A0092B-C50C-407E-A947-70E740481C1C}">
                          <a14:useLocalDpi xmlns:a14="http://schemas.microsoft.com/office/drawing/2010/main" val="0"/>
                        </a:ext>
                      </a:extLst>
                    </a:blip>
                    <a:stretch>
                      <a:fillRect/>
                    </a:stretch>
                  </pic:blipFill>
                  <pic:spPr>
                    <a:xfrm>
                      <a:off x="0" y="0"/>
                      <a:ext cx="5331867" cy="3372698"/>
                    </a:xfrm>
                    <a:prstGeom prst="rect">
                      <a:avLst/>
                    </a:prstGeom>
                  </pic:spPr>
                </pic:pic>
              </a:graphicData>
            </a:graphic>
          </wp:inline>
        </w:drawing>
      </w:r>
    </w:p>
    <w:p w14:paraId="56722A31" w14:textId="77777777" w:rsidR="00D537CC" w:rsidRPr="00186AC5" w:rsidRDefault="00D537CC" w:rsidP="00D537CC">
      <w:pPr>
        <w:ind w:left="720"/>
        <w:rPr>
          <w:b/>
          <w:bCs/>
          <w:szCs w:val="24"/>
        </w:rPr>
      </w:pPr>
      <w:r w:rsidRPr="00186AC5">
        <w:rPr>
          <w:rFonts w:hint="eastAsia"/>
          <w:b/>
          <w:bCs/>
          <w:noProof/>
          <w:szCs w:val="24"/>
        </w:rPr>
        <w:lastRenderedPageBreak/>
        <w:drawing>
          <wp:inline distT="0" distB="0" distL="0" distR="0" wp14:anchorId="1D695F8E" wp14:editId="6E839669">
            <wp:extent cx="5274310" cy="309181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091815"/>
                    </a:xfrm>
                    <a:prstGeom prst="rect">
                      <a:avLst/>
                    </a:prstGeom>
                  </pic:spPr>
                </pic:pic>
              </a:graphicData>
            </a:graphic>
          </wp:inline>
        </w:drawing>
      </w:r>
    </w:p>
    <w:p w14:paraId="74C98492" w14:textId="77777777" w:rsidR="00D537CC" w:rsidRPr="00186AC5" w:rsidRDefault="00D537CC" w:rsidP="00D537CC">
      <w:pPr>
        <w:ind w:left="720"/>
        <w:rPr>
          <w:b/>
          <w:bCs/>
          <w:szCs w:val="24"/>
        </w:rPr>
      </w:pPr>
      <w:r w:rsidRPr="00186AC5">
        <w:rPr>
          <w:rFonts w:hint="eastAsia"/>
          <w:b/>
          <w:bCs/>
          <w:noProof/>
          <w:szCs w:val="24"/>
        </w:rPr>
        <w:drawing>
          <wp:inline distT="0" distB="0" distL="0" distR="0" wp14:anchorId="492E3374" wp14:editId="0C78C5FB">
            <wp:extent cx="5274310" cy="3310890"/>
            <wp:effectExtent l="0" t="0" r="254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310890"/>
                    </a:xfrm>
                    <a:prstGeom prst="rect">
                      <a:avLst/>
                    </a:prstGeom>
                  </pic:spPr>
                </pic:pic>
              </a:graphicData>
            </a:graphic>
          </wp:inline>
        </w:drawing>
      </w:r>
    </w:p>
    <w:p w14:paraId="71EFCF05" w14:textId="77777777" w:rsidR="00D537CC" w:rsidRPr="00186AC5" w:rsidRDefault="00D537CC" w:rsidP="00D537CC">
      <w:pPr>
        <w:ind w:left="720"/>
        <w:rPr>
          <w:b/>
          <w:bCs/>
          <w:szCs w:val="24"/>
        </w:rPr>
      </w:pPr>
      <w:r w:rsidRPr="00186AC5">
        <w:rPr>
          <w:rFonts w:hint="eastAsia"/>
          <w:b/>
          <w:bCs/>
          <w:noProof/>
          <w:szCs w:val="24"/>
        </w:rPr>
        <w:lastRenderedPageBreak/>
        <w:drawing>
          <wp:inline distT="0" distB="0" distL="0" distR="0" wp14:anchorId="104FE3B0" wp14:editId="63DE7E93">
            <wp:extent cx="5274310" cy="3438525"/>
            <wp:effectExtent l="0" t="0" r="254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438525"/>
                    </a:xfrm>
                    <a:prstGeom prst="rect">
                      <a:avLst/>
                    </a:prstGeom>
                  </pic:spPr>
                </pic:pic>
              </a:graphicData>
            </a:graphic>
          </wp:inline>
        </w:drawing>
      </w:r>
    </w:p>
    <w:p w14:paraId="17E5E7EF" w14:textId="77777777" w:rsidR="00D537CC" w:rsidRPr="00186AC5" w:rsidRDefault="00D537CC" w:rsidP="00D537CC">
      <w:pPr>
        <w:ind w:left="720"/>
        <w:rPr>
          <w:szCs w:val="24"/>
        </w:rPr>
      </w:pPr>
      <w:r w:rsidRPr="00186AC5">
        <w:rPr>
          <w:rFonts w:hint="eastAsia"/>
          <w:noProof/>
          <w:szCs w:val="24"/>
        </w:rPr>
        <w:drawing>
          <wp:inline distT="0" distB="0" distL="0" distR="0" wp14:anchorId="69AAAA9C" wp14:editId="53602160">
            <wp:extent cx="5274310" cy="2266315"/>
            <wp:effectExtent l="0" t="0" r="254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2266315"/>
                    </a:xfrm>
                    <a:prstGeom prst="rect">
                      <a:avLst/>
                    </a:prstGeom>
                  </pic:spPr>
                </pic:pic>
              </a:graphicData>
            </a:graphic>
          </wp:inline>
        </w:drawing>
      </w:r>
    </w:p>
    <w:p w14:paraId="69FF6BB3" w14:textId="77777777" w:rsidR="00D537CC" w:rsidRPr="00186AC5" w:rsidRDefault="00D537CC" w:rsidP="00D537CC">
      <w:pPr>
        <w:ind w:left="720"/>
        <w:rPr>
          <w:szCs w:val="24"/>
        </w:rPr>
      </w:pPr>
    </w:p>
    <w:p w14:paraId="06D3B4DB" w14:textId="77777777" w:rsidR="00D537CC" w:rsidRPr="00186AC5" w:rsidRDefault="00D537CC" w:rsidP="00D537CC">
      <w:pPr>
        <w:ind w:left="720"/>
        <w:rPr>
          <w:rFonts w:ascii="微軟正黑體" w:eastAsia="微軟正黑體" w:hAnsi="微軟正黑體"/>
          <w:color w:val="000000"/>
          <w:szCs w:val="24"/>
          <w:shd w:val="clear" w:color="auto" w:fill="FFFFFF"/>
        </w:rPr>
      </w:pPr>
      <w:r w:rsidRPr="00186AC5">
        <w:rPr>
          <w:rFonts w:hint="eastAsia"/>
          <w:szCs w:val="24"/>
        </w:rPr>
        <w:t>牛刀小試</w:t>
      </w:r>
      <w:r w:rsidRPr="00186AC5">
        <w:rPr>
          <w:rFonts w:hint="eastAsia"/>
          <w:szCs w:val="24"/>
        </w:rPr>
        <w:t>:</w:t>
      </w:r>
      <w:r w:rsidRPr="00186AC5">
        <w:rPr>
          <w:rFonts w:ascii="微軟正黑體" w:eastAsia="微軟正黑體" w:hAnsi="微軟正黑體" w:hint="eastAsia"/>
          <w:color w:val="000000"/>
          <w:szCs w:val="24"/>
          <w:shd w:val="clear" w:color="auto" w:fill="FFFFFF"/>
        </w:rPr>
        <w:t xml:space="preserve"> 雙元組合式商品所連結的外幣選擇權為加註失效條款的賣權，下列敘述何者錯誤？</w:t>
      </w:r>
    </w:p>
    <w:p w14:paraId="02CDEE95" w14:textId="77777777" w:rsidR="00D537CC" w:rsidRPr="00186AC5" w:rsidRDefault="00D537CC" w:rsidP="00D537CC">
      <w:pPr>
        <w:ind w:left="720"/>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(A)加註失效條款，降低了選擇權未來被執行的可能性</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(B)匯率一旦被碰觸，投資人並無轉換本金的義務</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(C)碰觸匯率愈接近轉換匯率，商品收益率愈高</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(D)碰觸匯率往轉換匯率兩側擴散時，商品收益率愈高</w:t>
      </w:r>
    </w:p>
    <w:p w14:paraId="3146865F" w14:textId="77777777" w:rsidR="00D537CC" w:rsidRPr="00186AC5" w:rsidRDefault="00D537CC" w:rsidP="00D537CC">
      <w:pPr>
        <w:ind w:left="720"/>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lastRenderedPageBreak/>
        <w:t>假設某投資人有歐元定存，欲敘作連結至美元的雙元組合式商品，請問本商品所連結的外幣選擇權為何？(</w:t>
      </w:r>
    </w:p>
    <w:p w14:paraId="799DC5D9" w14:textId="77777777" w:rsidR="00D537CC" w:rsidRPr="00186AC5" w:rsidRDefault="00D537CC" w:rsidP="00D537CC">
      <w:pPr>
        <w:ind w:left="720"/>
        <w:rPr>
          <w:szCs w:val="24"/>
        </w:rPr>
      </w:pPr>
      <w:r w:rsidRPr="00186AC5">
        <w:rPr>
          <w:rFonts w:ascii="微軟正黑體" w:eastAsia="微軟正黑體" w:hAnsi="微軟正黑體" w:hint="eastAsia"/>
          <w:color w:val="000000"/>
          <w:szCs w:val="24"/>
          <w:shd w:val="clear" w:color="auto" w:fill="FFFFFF"/>
        </w:rPr>
        <w:t>A)賣出歐元賣權美元買權</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(B)買進歐元賣權美元買權</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(C)賣出歐元買權美元賣權</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(D)買進歐元買權美元賣權</w:t>
      </w:r>
    </w:p>
    <w:p w14:paraId="34BC16C9" w14:textId="77777777" w:rsidR="00D537CC" w:rsidRPr="00186AC5" w:rsidRDefault="00D537CC" w:rsidP="00D537CC">
      <w:pPr>
        <w:ind w:left="720"/>
        <w:rPr>
          <w:szCs w:val="24"/>
        </w:rPr>
      </w:pPr>
      <w:r w:rsidRPr="00186AC5">
        <w:rPr>
          <w:rFonts w:hint="eastAsia"/>
          <w:b/>
          <w:bCs/>
          <w:szCs w:val="24"/>
        </w:rPr>
        <w:t xml:space="preserve">                         </w:t>
      </w:r>
    </w:p>
    <w:p w14:paraId="2EC2E7B9" w14:textId="77777777" w:rsidR="00D537CC" w:rsidRPr="00186AC5" w:rsidRDefault="00D537CC" w:rsidP="00D537CC">
      <w:pPr>
        <w:ind w:left="360"/>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投資人有美元存款，欲承作連結歐元之雙元貨幣定存，所連結的外幣選擇權為何？</w:t>
      </w:r>
    </w:p>
    <w:p w14:paraId="064081B9" w14:textId="77777777" w:rsidR="00D537CC" w:rsidRPr="00186AC5" w:rsidRDefault="00D537CC" w:rsidP="00D537CC">
      <w:pPr>
        <w:ind w:left="360"/>
        <w:rPr>
          <w:szCs w:val="24"/>
        </w:rPr>
      </w:pPr>
      <w:r w:rsidRPr="00186AC5">
        <w:rPr>
          <w:rFonts w:ascii="微軟正黑體" w:eastAsia="微軟正黑體" w:hAnsi="微軟正黑體" w:hint="eastAsia"/>
          <w:color w:val="000000"/>
          <w:szCs w:val="24"/>
          <w:shd w:val="clear" w:color="auto" w:fill="FFFFFF"/>
        </w:rPr>
        <w:t>(A)買入（EUR PUT/USD CALL）</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(B)賣出（EUR PUT/USD CALL）</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(C)賣出（EUR CALL/USD PUT）</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(D)買入（EUR CALL/USD PUT）</w:t>
      </w:r>
    </w:p>
    <w:p w14:paraId="73BD3DB1" w14:textId="77777777" w:rsidR="00D537CC" w:rsidRPr="00186AC5" w:rsidRDefault="00D537CC" w:rsidP="00D537CC">
      <w:pPr>
        <w:rPr>
          <w:rFonts w:ascii="微軟正黑體" w:eastAsia="微軟正黑體" w:hAnsi="微軟正黑體"/>
          <w:szCs w:val="24"/>
        </w:rPr>
      </w:pPr>
      <w:r w:rsidRPr="00186AC5">
        <w:rPr>
          <w:rFonts w:ascii="微軟正黑體" w:eastAsia="微軟正黑體" w:hAnsi="微軟正黑體" w:hint="eastAsia"/>
          <w:szCs w:val="24"/>
        </w:rPr>
        <w:t xml:space="preserve">   企業從事非避險性買進選擇權支付權利金500，一個月後到期未續約，請問對企業之影響為?</w:t>
      </w:r>
    </w:p>
    <w:p w14:paraId="3DF4A4F0" w14:textId="77777777" w:rsidR="00D537CC" w:rsidRPr="00186AC5" w:rsidRDefault="00D537CC" w:rsidP="002F2A9B">
      <w:pPr>
        <w:pStyle w:val="a3"/>
        <w:numPr>
          <w:ilvl w:val="0"/>
          <w:numId w:val="22"/>
        </w:numPr>
        <w:ind w:leftChars="0"/>
        <w:rPr>
          <w:rFonts w:ascii="微軟正黑體" w:eastAsia="微軟正黑體" w:hAnsi="微軟正黑體"/>
        </w:rPr>
      </w:pPr>
      <w:r w:rsidRPr="00186AC5">
        <w:rPr>
          <w:rFonts w:ascii="微軟正黑體" w:eastAsia="微軟正黑體" w:hAnsi="微軟正黑體" w:hint="eastAsia"/>
        </w:rPr>
        <w:t>負債增加500元</w:t>
      </w:r>
    </w:p>
    <w:p w14:paraId="6D686BEB" w14:textId="77777777" w:rsidR="00D537CC" w:rsidRPr="00186AC5" w:rsidRDefault="00D537CC" w:rsidP="002F2A9B">
      <w:pPr>
        <w:pStyle w:val="a3"/>
        <w:numPr>
          <w:ilvl w:val="0"/>
          <w:numId w:val="22"/>
        </w:numPr>
        <w:ind w:leftChars="0"/>
        <w:rPr>
          <w:rFonts w:ascii="微軟正黑體" w:eastAsia="微軟正黑體" w:hAnsi="微軟正黑體"/>
        </w:rPr>
      </w:pPr>
      <w:r w:rsidRPr="00186AC5">
        <w:rPr>
          <w:rFonts w:ascii="微軟正黑體" w:eastAsia="微軟正黑體" w:hAnsi="微軟正黑體" w:hint="eastAsia"/>
        </w:rPr>
        <w:t>資產增加500元</w:t>
      </w:r>
    </w:p>
    <w:p w14:paraId="5A010351" w14:textId="77777777" w:rsidR="00D537CC" w:rsidRPr="00186AC5" w:rsidRDefault="00D537CC" w:rsidP="002F2A9B">
      <w:pPr>
        <w:pStyle w:val="a3"/>
        <w:numPr>
          <w:ilvl w:val="0"/>
          <w:numId w:val="22"/>
        </w:numPr>
        <w:ind w:leftChars="0"/>
        <w:rPr>
          <w:rFonts w:ascii="微軟正黑體" w:eastAsia="微軟正黑體" w:hAnsi="微軟正黑體"/>
        </w:rPr>
      </w:pPr>
      <w:r w:rsidRPr="00186AC5">
        <w:rPr>
          <w:rFonts w:ascii="微軟正黑體" w:eastAsia="微軟正黑體" w:hAnsi="微軟正黑體" w:hint="eastAsia"/>
        </w:rPr>
        <w:t>本期利益增加500元</w:t>
      </w:r>
    </w:p>
    <w:p w14:paraId="73E91875" w14:textId="77777777" w:rsidR="00D537CC" w:rsidRPr="00186AC5" w:rsidRDefault="00D537CC" w:rsidP="002F2A9B">
      <w:pPr>
        <w:pStyle w:val="a3"/>
        <w:numPr>
          <w:ilvl w:val="0"/>
          <w:numId w:val="22"/>
        </w:numPr>
        <w:ind w:leftChars="0"/>
        <w:rPr>
          <w:rFonts w:ascii="微軟正黑體" w:eastAsia="微軟正黑體" w:hAnsi="微軟正黑體"/>
        </w:rPr>
      </w:pPr>
      <w:r w:rsidRPr="00186AC5">
        <w:rPr>
          <w:rFonts w:ascii="微軟正黑體" w:eastAsia="微軟正黑體" w:hAnsi="微軟正黑體" w:hint="eastAsia"/>
        </w:rPr>
        <w:t>本期損失增加500元</w:t>
      </w:r>
    </w:p>
    <w:p w14:paraId="505C3F22" w14:textId="77777777" w:rsidR="00D537CC" w:rsidRPr="00186AC5" w:rsidRDefault="00D537CC" w:rsidP="00D537CC">
      <w:pPr>
        <w:jc w:val="center"/>
        <w:rPr>
          <w:szCs w:val="24"/>
        </w:rPr>
      </w:pPr>
      <w:r w:rsidRPr="00186AC5">
        <w:rPr>
          <w:rFonts w:hint="eastAsia"/>
          <w:szCs w:val="24"/>
        </w:rPr>
        <w:t>衍生性金融商品</w:t>
      </w:r>
    </w:p>
    <w:p w14:paraId="7DEED44A" w14:textId="77777777" w:rsidR="00D537CC" w:rsidRPr="00186AC5" w:rsidRDefault="00D537CC" w:rsidP="00D537CC">
      <w:pPr>
        <w:jc w:val="center"/>
        <w:rPr>
          <w:szCs w:val="24"/>
        </w:rPr>
      </w:pPr>
      <w:r w:rsidRPr="00186AC5">
        <w:rPr>
          <w:rFonts w:hint="eastAsia"/>
          <w:szCs w:val="24"/>
        </w:rPr>
        <w:lastRenderedPageBreak/>
        <w:t>重點整理</w:t>
      </w:r>
    </w:p>
    <w:p w14:paraId="4E530C06" w14:textId="77777777" w:rsidR="00D537CC" w:rsidRPr="00186AC5" w:rsidRDefault="00D537CC" w:rsidP="00D537CC">
      <w:pPr>
        <w:jc w:val="center"/>
        <w:rPr>
          <w:szCs w:val="24"/>
        </w:rPr>
      </w:pPr>
    </w:p>
    <w:p w14:paraId="630126CE" w14:textId="77777777" w:rsidR="00D537CC" w:rsidRPr="00186AC5" w:rsidRDefault="00D537CC" w:rsidP="002F2A9B">
      <w:pPr>
        <w:numPr>
          <w:ilvl w:val="0"/>
          <w:numId w:val="1"/>
        </w:numPr>
        <w:rPr>
          <w:szCs w:val="24"/>
        </w:rPr>
      </w:pPr>
      <w:r w:rsidRPr="00186AC5">
        <w:rPr>
          <w:rFonts w:hint="eastAsia"/>
          <w:color w:val="FF0000"/>
          <w:szCs w:val="24"/>
        </w:rPr>
        <w:t>1.</w:t>
      </w:r>
      <w:r w:rsidRPr="00186AC5">
        <w:rPr>
          <w:rFonts w:hint="eastAsia"/>
          <w:color w:val="FF0000"/>
          <w:szCs w:val="24"/>
        </w:rPr>
        <w:t>定義</w:t>
      </w:r>
      <w:r w:rsidRPr="00186AC5">
        <w:rPr>
          <w:rFonts w:hint="eastAsia"/>
          <w:szCs w:val="24"/>
        </w:rPr>
        <w:t>:</w:t>
      </w:r>
      <w:r w:rsidRPr="00186AC5">
        <w:rPr>
          <w:rFonts w:ascii="新細明體" w:eastAsia="新細明體" w:hAnsi="新細明體" w:cs="新細明體" w:hint="eastAsia"/>
          <w:kern w:val="0"/>
          <w:szCs w:val="24"/>
        </w:rPr>
        <w:t xml:space="preserve"> </w:t>
      </w:r>
      <w:r w:rsidRPr="00186AC5">
        <w:rPr>
          <w:rFonts w:hint="eastAsia"/>
          <w:szCs w:val="24"/>
        </w:rPr>
        <w:t>在概念上並非［有價］的資產</w:t>
      </w:r>
      <w:r w:rsidRPr="00186AC5">
        <w:rPr>
          <w:rFonts w:hint="eastAsia"/>
          <w:szCs w:val="24"/>
        </w:rPr>
        <w:t>,</w:t>
      </w:r>
      <w:r w:rsidRPr="00186AC5">
        <w:rPr>
          <w:rFonts w:hint="eastAsia"/>
          <w:szCs w:val="24"/>
        </w:rPr>
        <w:t>而是一種附屬性</w:t>
      </w:r>
      <w:r w:rsidRPr="00186AC5">
        <w:rPr>
          <w:rFonts w:hint="eastAsia"/>
          <w:szCs w:val="24"/>
        </w:rPr>
        <w:t>,</w:t>
      </w:r>
      <w:r w:rsidRPr="00186AC5">
        <w:rPr>
          <w:rFonts w:hint="eastAsia"/>
          <w:szCs w:val="24"/>
        </w:rPr>
        <w:t>有限期的</w:t>
      </w:r>
      <w:r w:rsidRPr="00186AC5">
        <w:rPr>
          <w:rFonts w:hint="eastAsia"/>
          <w:color w:val="70AD47" w:themeColor="accent6"/>
          <w:szCs w:val="24"/>
        </w:rPr>
        <w:t>契約</w:t>
      </w:r>
      <w:r w:rsidRPr="00186AC5">
        <w:rPr>
          <w:rFonts w:hint="eastAsia"/>
          <w:color w:val="70AD47" w:themeColor="accent6"/>
          <w:szCs w:val="24"/>
        </w:rPr>
        <w:t>,</w:t>
      </w:r>
      <w:r w:rsidRPr="00186AC5">
        <w:rPr>
          <w:rFonts w:hint="eastAsia"/>
          <w:szCs w:val="24"/>
        </w:rPr>
        <w:t>其價值會隨著其所依附之證券或資產價值而波動</w:t>
      </w:r>
      <w:r w:rsidRPr="00186AC5">
        <w:rPr>
          <w:rFonts w:hint="eastAsia"/>
          <w:szCs w:val="24"/>
        </w:rPr>
        <w:t>,</w:t>
      </w:r>
      <w:r w:rsidRPr="00186AC5">
        <w:rPr>
          <w:rFonts w:hint="eastAsia"/>
          <w:szCs w:val="24"/>
        </w:rPr>
        <w:t>因此被冠上［衍生性］的字眼。在市場上，常被依附的證券或資產包括股票、債券、貨幣等金融工具及許多實體商品</w:t>
      </w:r>
      <w:r w:rsidRPr="00186AC5">
        <w:rPr>
          <w:rFonts w:hint="eastAsia"/>
          <w:szCs w:val="24"/>
        </w:rPr>
        <w:t>(</w:t>
      </w:r>
      <w:r w:rsidRPr="00186AC5">
        <w:rPr>
          <w:rFonts w:hint="eastAsia"/>
          <w:szCs w:val="24"/>
        </w:rPr>
        <w:t>如黃金與玉米</w:t>
      </w:r>
      <w:r w:rsidRPr="00186AC5">
        <w:rPr>
          <w:szCs w:val="24"/>
        </w:rPr>
        <w:t>)</w:t>
      </w:r>
      <w:r w:rsidRPr="00186AC5">
        <w:rPr>
          <w:rFonts w:hint="eastAsia"/>
          <w:szCs w:val="24"/>
        </w:rPr>
        <w:t>，而被依附的證券或資產又被稱為是這些衍生性金融商品的標的物</w:t>
      </w:r>
    </w:p>
    <w:p w14:paraId="3E3AAADE" w14:textId="77777777" w:rsidR="00D537CC" w:rsidRPr="00186AC5" w:rsidRDefault="00D537CC" w:rsidP="00D537CC">
      <w:pPr>
        <w:ind w:left="360"/>
        <w:rPr>
          <w:szCs w:val="24"/>
        </w:rPr>
      </w:pPr>
      <w:r w:rsidRPr="00186AC5">
        <w:rPr>
          <w:rFonts w:hint="eastAsia"/>
          <w:szCs w:val="24"/>
        </w:rPr>
        <w:t>(   )</w:t>
      </w:r>
      <w:r w:rsidRPr="00186AC5">
        <w:rPr>
          <w:rFonts w:hint="eastAsia"/>
          <w:szCs w:val="24"/>
        </w:rPr>
        <w:t>牛刀小試</w:t>
      </w:r>
      <w:r w:rsidRPr="00186AC5">
        <w:rPr>
          <w:rFonts w:hint="eastAsia"/>
          <w:szCs w:val="24"/>
        </w:rPr>
        <w:t>1:</w:t>
      </w:r>
      <w:r w:rsidRPr="00186AC5">
        <w:rPr>
          <w:rFonts w:ascii="微軟正黑體" w:eastAsia="微軟正黑體" w:hAnsi="微軟正黑體" w:hint="eastAsia"/>
          <w:color w:val="000000"/>
          <w:szCs w:val="24"/>
          <w:shd w:val="clear" w:color="auto" w:fill="FFFFFF"/>
        </w:rPr>
        <w:t xml:space="preserve"> 目前我國衍生性金融商品的交易存在於哪個市場？</w:t>
      </w:r>
    </w:p>
    <w:p w14:paraId="6BB9CE0E" w14:textId="77777777" w:rsidR="00D537CC" w:rsidRPr="00186AC5" w:rsidRDefault="00D537CC" w:rsidP="002F2A9B">
      <w:pPr>
        <w:numPr>
          <w:ilvl w:val="0"/>
          <w:numId w:val="1"/>
        </w:numPr>
        <w:rPr>
          <w:szCs w:val="24"/>
        </w:rPr>
      </w:pPr>
      <w:r w:rsidRPr="00186AC5">
        <w:rPr>
          <w:rFonts w:ascii="微軟正黑體" w:eastAsia="微軟正黑體" w:hAnsi="微軟正黑體" w:hint="eastAsia"/>
          <w:color w:val="000000"/>
          <w:szCs w:val="24"/>
          <w:shd w:val="clear" w:color="auto" w:fill="FFFFFF"/>
        </w:rPr>
        <w:t>(A)集中市場與店頭市場皆有交易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(B)集中市場有交易，店頭市場沒有交易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(C)集中市場沒有交易，店頭市場有交易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(D)集中市場與店頭市場皆無交易</w:t>
      </w:r>
    </w:p>
    <w:p w14:paraId="5222CCE5" w14:textId="77777777" w:rsidR="00D537CC" w:rsidRPr="00186AC5" w:rsidRDefault="00D537CC" w:rsidP="00D537CC">
      <w:pPr>
        <w:ind w:left="360"/>
        <w:rPr>
          <w:rFonts w:ascii="Verdana" w:hAnsi="Verdana"/>
          <w:spacing w:val="20"/>
          <w:szCs w:val="24"/>
          <w:shd w:val="clear" w:color="auto" w:fill="FFFFFF"/>
        </w:rPr>
      </w:pPr>
      <w:r w:rsidRPr="00186AC5">
        <w:rPr>
          <w:rFonts w:ascii="微軟正黑體" w:eastAsia="微軟正黑體" w:hAnsi="微軟正黑體"/>
          <w:szCs w:val="24"/>
          <w:shd w:val="clear" w:color="auto" w:fill="FFFFFF"/>
        </w:rPr>
        <w:t>*</w:t>
      </w:r>
      <w:r w:rsidRPr="00186AC5">
        <w:rPr>
          <w:rFonts w:ascii="微軟正黑體" w:eastAsia="微軟正黑體" w:hAnsi="微軟正黑體" w:hint="eastAsia"/>
          <w:szCs w:val="24"/>
          <w:shd w:val="clear" w:color="auto" w:fill="FFFFFF"/>
        </w:rPr>
        <w:t>集中市場:</w:t>
      </w:r>
      <w:r w:rsidRPr="00186AC5">
        <w:rPr>
          <w:rFonts w:ascii="Verdana" w:hAnsi="Verdana"/>
          <w:b/>
          <w:bCs/>
          <w:spacing w:val="20"/>
          <w:szCs w:val="24"/>
          <w:shd w:val="clear" w:color="auto" w:fill="FFFFFF"/>
        </w:rPr>
        <w:t xml:space="preserve"> </w:t>
      </w:r>
      <w:hyperlink r:id="rId26" w:tgtFrame="_blank" w:history="1">
        <w:r w:rsidRPr="00186AC5">
          <w:rPr>
            <w:rStyle w:val="a4"/>
            <w:rFonts w:ascii="Verdana" w:hAnsi="Verdana"/>
            <w:spacing w:val="20"/>
            <w:szCs w:val="24"/>
            <w:shd w:val="clear" w:color="auto" w:fill="FFFFFF"/>
          </w:rPr>
          <w:t>集中市場</w:t>
        </w:r>
      </w:hyperlink>
      <w:r w:rsidRPr="00186AC5">
        <w:rPr>
          <w:rStyle w:val="aa"/>
          <w:rFonts w:ascii="Verdana" w:hAnsi="Verdana"/>
          <w:spacing w:val="20"/>
          <w:szCs w:val="24"/>
          <w:shd w:val="clear" w:color="auto" w:fill="FFFFFF"/>
        </w:rPr>
        <w:t>又稱為次級巿場</w:t>
      </w:r>
      <w:r w:rsidRPr="00186AC5">
        <w:rPr>
          <w:rStyle w:val="aa"/>
          <w:rFonts w:ascii="Verdana" w:hAnsi="Verdana"/>
          <w:spacing w:val="20"/>
          <w:szCs w:val="24"/>
          <w:shd w:val="clear" w:color="auto" w:fill="FFFFFF"/>
        </w:rPr>
        <w:t xml:space="preserve">(Secondary Market) </w:t>
      </w:r>
      <w:r w:rsidRPr="00186AC5">
        <w:rPr>
          <w:rStyle w:val="aa"/>
          <w:rFonts w:ascii="Verdana" w:hAnsi="Verdana"/>
          <w:spacing w:val="20"/>
          <w:szCs w:val="24"/>
          <w:shd w:val="clear" w:color="auto" w:fill="FFFFFF"/>
        </w:rPr>
        <w:t>或交易巿場或流通巿場，</w:t>
      </w:r>
      <w:r w:rsidRPr="00186AC5">
        <w:rPr>
          <w:rFonts w:ascii="Verdana" w:hAnsi="Verdana"/>
          <w:spacing w:val="20"/>
          <w:szCs w:val="24"/>
          <w:shd w:val="clear" w:color="auto" w:fill="FFFFFF"/>
        </w:rPr>
        <w:t>是指上市股票在證券交易所，以集中公開競價方式交易的市場，</w:t>
      </w:r>
      <w:hyperlink r:id="rId27" w:tgtFrame="_blank" w:history="1">
        <w:r w:rsidRPr="00186AC5">
          <w:rPr>
            <w:rStyle w:val="a4"/>
            <w:rFonts w:ascii="Verdana" w:hAnsi="Verdana"/>
            <w:spacing w:val="20"/>
            <w:szCs w:val="24"/>
            <w:shd w:val="clear" w:color="auto" w:fill="FFFFFF"/>
          </w:rPr>
          <w:t>交易商</w:t>
        </w:r>
      </w:hyperlink>
      <w:r w:rsidRPr="00186AC5">
        <w:rPr>
          <w:rFonts w:ascii="Verdana" w:hAnsi="Verdana"/>
          <w:spacing w:val="20"/>
          <w:szCs w:val="24"/>
          <w:shd w:val="clear" w:color="auto" w:fill="FFFFFF"/>
        </w:rPr>
        <w:t>品均為</w:t>
      </w:r>
      <w:r w:rsidRPr="00186AC5">
        <w:rPr>
          <w:rFonts w:ascii="Verdana" w:hAnsi="Verdana" w:hint="eastAsia"/>
          <w:spacing w:val="20"/>
          <w:szCs w:val="24"/>
          <w:shd w:val="clear" w:color="auto" w:fill="FFFFFF"/>
        </w:rPr>
        <w:t>標準化</w:t>
      </w:r>
      <w:r w:rsidRPr="00186AC5">
        <w:rPr>
          <w:rFonts w:ascii="Verdana" w:hAnsi="Verdana"/>
          <w:spacing w:val="20"/>
          <w:szCs w:val="24"/>
          <w:shd w:val="clear" w:color="auto" w:fill="FFFFFF"/>
        </w:rPr>
        <w:t>。競價的方式則有電腦自動撮合與</w:t>
      </w:r>
      <w:hyperlink r:id="rId28" w:tgtFrame="_blank" w:history="1">
        <w:r w:rsidRPr="00186AC5">
          <w:rPr>
            <w:rStyle w:val="a4"/>
            <w:rFonts w:ascii="Verdana" w:hAnsi="Verdana"/>
            <w:spacing w:val="20"/>
            <w:szCs w:val="24"/>
            <w:shd w:val="clear" w:color="auto" w:fill="FFFFFF"/>
          </w:rPr>
          <w:t>人工撮合</w:t>
        </w:r>
      </w:hyperlink>
      <w:r w:rsidRPr="00186AC5">
        <w:rPr>
          <w:rFonts w:ascii="Verdana" w:hAnsi="Verdana"/>
          <w:spacing w:val="20"/>
          <w:szCs w:val="24"/>
          <w:shd w:val="clear" w:color="auto" w:fill="FFFFFF"/>
        </w:rPr>
        <w:t>兩種，例如我國的證券交易所就是利用電腦自動交易，而美國的紐約證交所（</w:t>
      </w:r>
      <w:r w:rsidRPr="00186AC5">
        <w:rPr>
          <w:rFonts w:ascii="Verdana" w:hAnsi="Verdana"/>
          <w:spacing w:val="20"/>
          <w:szCs w:val="24"/>
          <w:shd w:val="clear" w:color="auto" w:fill="FFFFFF"/>
        </w:rPr>
        <w:t>NYSE</w:t>
      </w:r>
      <w:r w:rsidRPr="00186AC5">
        <w:rPr>
          <w:rFonts w:ascii="Verdana" w:hAnsi="Verdana"/>
          <w:spacing w:val="20"/>
          <w:szCs w:val="24"/>
          <w:shd w:val="clear" w:color="auto" w:fill="FFFFFF"/>
        </w:rPr>
        <w:t>）則是由</w:t>
      </w:r>
      <w:hyperlink r:id="rId29" w:tgtFrame="_blank" w:history="1">
        <w:r w:rsidRPr="00186AC5">
          <w:rPr>
            <w:rStyle w:val="a4"/>
            <w:rFonts w:ascii="Verdana" w:hAnsi="Verdana"/>
            <w:spacing w:val="20"/>
            <w:szCs w:val="24"/>
            <w:shd w:val="clear" w:color="auto" w:fill="FFFFFF"/>
          </w:rPr>
          <w:t>經紀人</w:t>
        </w:r>
      </w:hyperlink>
      <w:r w:rsidRPr="00186AC5">
        <w:rPr>
          <w:rFonts w:ascii="Verdana" w:hAnsi="Verdana"/>
          <w:spacing w:val="20"/>
          <w:szCs w:val="24"/>
          <w:shd w:val="clear" w:color="auto" w:fill="FFFFFF"/>
        </w:rPr>
        <w:t>在場內走動叫喊來尋找最佳買賣主。</w:t>
      </w:r>
    </w:p>
    <w:p w14:paraId="1C1B56EB" w14:textId="77777777" w:rsidR="00D537CC" w:rsidRPr="00186AC5" w:rsidRDefault="00D537CC" w:rsidP="00D537CC">
      <w:pPr>
        <w:pStyle w:val="Web"/>
        <w:shd w:val="clear" w:color="auto" w:fill="FFFFFF"/>
        <w:spacing w:before="0" w:beforeAutospacing="0" w:after="0" w:afterAutospacing="0"/>
        <w:rPr>
          <w:rFonts w:ascii="Verdana" w:hAnsi="Verdana"/>
          <w:spacing w:val="20"/>
          <w:shd w:val="clear" w:color="auto" w:fill="FFFFFF"/>
        </w:rPr>
      </w:pPr>
      <w:r w:rsidRPr="00186AC5">
        <w:rPr>
          <w:rFonts w:ascii="Verdana" w:hAnsi="Verdana" w:hint="eastAsia"/>
          <w:spacing w:val="20"/>
          <w:shd w:val="clear" w:color="auto" w:fill="FFFFFF"/>
        </w:rPr>
        <w:t xml:space="preserve"> </w:t>
      </w:r>
    </w:p>
    <w:p w14:paraId="5FE23429" w14:textId="77777777" w:rsidR="00D537CC" w:rsidRPr="00186AC5" w:rsidRDefault="00D537CC" w:rsidP="00D537CC">
      <w:pPr>
        <w:pStyle w:val="Web"/>
        <w:shd w:val="clear" w:color="auto" w:fill="FFFFFF"/>
        <w:spacing w:before="0" w:beforeAutospacing="0" w:after="0" w:afterAutospacing="0"/>
        <w:rPr>
          <w:rFonts w:ascii="Verdana" w:hAnsi="Verdana"/>
          <w:color w:val="363636"/>
          <w:spacing w:val="20"/>
        </w:rPr>
      </w:pPr>
      <w:r w:rsidRPr="00186AC5">
        <w:rPr>
          <w:rFonts w:ascii="Verdana" w:hAnsi="Verdana" w:hint="eastAsia"/>
          <w:spacing w:val="20"/>
          <w:shd w:val="clear" w:color="auto" w:fill="FFFFFF"/>
        </w:rPr>
        <w:t xml:space="preserve">  *</w:t>
      </w:r>
      <w:r w:rsidRPr="00186AC5">
        <w:rPr>
          <w:rFonts w:ascii="Verdana" w:hAnsi="Verdana" w:hint="eastAsia"/>
          <w:spacing w:val="20"/>
          <w:shd w:val="clear" w:color="auto" w:fill="FFFFFF"/>
        </w:rPr>
        <w:t>店頭市場</w:t>
      </w:r>
      <w:r w:rsidRPr="00186AC5">
        <w:rPr>
          <w:rFonts w:ascii="Verdana" w:hAnsi="Verdana" w:hint="eastAsia"/>
          <w:spacing w:val="20"/>
          <w:shd w:val="clear" w:color="auto" w:fill="FFFFFF"/>
        </w:rPr>
        <w:t>:</w:t>
      </w:r>
      <w:r w:rsidRPr="00186AC5">
        <w:rPr>
          <w:rFonts w:ascii="Verdana" w:hAnsi="Verdana"/>
          <w:color w:val="363636"/>
          <w:spacing w:val="20"/>
        </w:rPr>
        <w:t xml:space="preserve"> </w:t>
      </w:r>
      <w:r w:rsidRPr="00186AC5">
        <w:rPr>
          <w:rFonts w:ascii="Verdana" w:hAnsi="Verdana"/>
          <w:color w:val="363636"/>
          <w:spacing w:val="20"/>
        </w:rPr>
        <w:t>有價</w:t>
      </w:r>
      <w:hyperlink r:id="rId30" w:tgtFrame="_blank" w:history="1">
        <w:r w:rsidRPr="00186AC5">
          <w:rPr>
            <w:rStyle w:val="a4"/>
            <w:rFonts w:ascii="Verdana" w:hAnsi="Verdana"/>
            <w:color w:val="ED145B"/>
            <w:spacing w:val="20"/>
          </w:rPr>
          <w:t>證券</w:t>
        </w:r>
      </w:hyperlink>
      <w:r w:rsidRPr="00186AC5">
        <w:rPr>
          <w:rFonts w:ascii="Verdana" w:hAnsi="Verdana"/>
          <w:color w:val="363636"/>
          <w:spacing w:val="20"/>
        </w:rPr>
        <w:t>不在集中交易市場上市以競價方式買賣，而在證券商的營業櫃檯以議價方式進行的交易行為，稱為櫃檯買賣。由櫃檯買賣所形成的市場稱為櫃檯買賣市場，又稱店頭交易，英文為</w:t>
      </w:r>
      <w:r w:rsidRPr="00186AC5">
        <w:rPr>
          <w:rFonts w:ascii="Verdana" w:hAnsi="Verdana"/>
          <w:color w:val="363636"/>
          <w:spacing w:val="20"/>
        </w:rPr>
        <w:t>Over-the-Counter</w:t>
      </w:r>
      <w:r w:rsidRPr="00186AC5">
        <w:rPr>
          <w:rFonts w:ascii="Verdana" w:hAnsi="Verdana"/>
          <w:color w:val="363636"/>
          <w:spacing w:val="20"/>
        </w:rPr>
        <w:t>，簡稱</w:t>
      </w:r>
      <w:r w:rsidRPr="00186AC5">
        <w:rPr>
          <w:rFonts w:ascii="Verdana" w:hAnsi="Verdana"/>
          <w:color w:val="363636"/>
          <w:spacing w:val="20"/>
        </w:rPr>
        <w:t>OTC</w:t>
      </w:r>
      <w:r w:rsidRPr="00186AC5">
        <w:rPr>
          <w:rFonts w:ascii="Verdana" w:hAnsi="Verdana"/>
          <w:color w:val="363636"/>
          <w:spacing w:val="20"/>
        </w:rPr>
        <w:t>。</w:t>
      </w:r>
    </w:p>
    <w:p w14:paraId="03F7EAFB" w14:textId="77777777" w:rsidR="00D537CC" w:rsidRPr="00186AC5" w:rsidRDefault="00D537CC" w:rsidP="00D537CC">
      <w:pPr>
        <w:pStyle w:val="Web"/>
        <w:shd w:val="clear" w:color="auto" w:fill="FFFFFF"/>
        <w:spacing w:before="0" w:beforeAutospacing="0" w:after="0" w:afterAutospacing="0"/>
        <w:rPr>
          <w:rFonts w:ascii="Verdana" w:hAnsi="Verdana"/>
          <w:color w:val="363636"/>
          <w:spacing w:val="20"/>
        </w:rPr>
      </w:pPr>
      <w:r w:rsidRPr="00186AC5">
        <w:rPr>
          <w:rFonts w:ascii="Verdana" w:hAnsi="Verdana"/>
          <w:color w:val="363636"/>
          <w:spacing w:val="20"/>
        </w:rPr>
        <w:t>在買賣上，以</w:t>
      </w:r>
      <w:r w:rsidRPr="00186AC5">
        <w:rPr>
          <w:rFonts w:ascii="Verdana" w:hAnsi="Verdana"/>
          <w:color w:val="363636"/>
          <w:spacing w:val="20"/>
        </w:rPr>
        <w:t>1,000</w:t>
      </w:r>
      <w:r w:rsidRPr="00186AC5">
        <w:rPr>
          <w:rFonts w:ascii="Verdana" w:hAnsi="Verdana"/>
          <w:color w:val="363636"/>
          <w:spacing w:val="20"/>
        </w:rPr>
        <w:t>股為成交單位，股價的漲跌幅限制為當天參考價格上下</w:t>
      </w:r>
      <w:r w:rsidRPr="00186AC5">
        <w:rPr>
          <w:rFonts w:ascii="Verdana" w:hAnsi="Verdana"/>
          <w:color w:val="363636"/>
          <w:spacing w:val="20"/>
        </w:rPr>
        <w:t>7</w:t>
      </w:r>
      <w:r w:rsidRPr="00186AC5">
        <w:rPr>
          <w:rFonts w:ascii="Verdana" w:hAnsi="Verdana"/>
          <w:color w:val="363636"/>
          <w:spacing w:val="20"/>
        </w:rPr>
        <w:t>％。</w:t>
      </w:r>
    </w:p>
    <w:p w14:paraId="58FE49BE" w14:textId="77777777" w:rsidR="00D537CC" w:rsidRPr="00186AC5" w:rsidRDefault="00D537CC" w:rsidP="00D537CC">
      <w:pPr>
        <w:pStyle w:val="Web"/>
        <w:shd w:val="clear" w:color="auto" w:fill="FFFFFF"/>
        <w:spacing w:before="0" w:beforeAutospacing="0" w:after="0" w:afterAutospacing="0"/>
        <w:rPr>
          <w:rFonts w:ascii="Verdana" w:hAnsi="Verdana"/>
          <w:color w:val="363636"/>
          <w:spacing w:val="20"/>
        </w:rPr>
      </w:pPr>
      <w:r w:rsidRPr="00186AC5">
        <w:rPr>
          <w:rFonts w:ascii="Verdana" w:hAnsi="Verdana"/>
          <w:color w:val="363636"/>
          <w:spacing w:val="20"/>
        </w:rPr>
        <w:t>公開發行公司申請將其所發行的證券（包括股票與公司債）在證券商營業處所買賣者稱為上櫃申請，經核准可以在證券商營業處所為櫃檯買賣的股票稱為上櫃股票，也就是說，可以在櫃檯買賣市場發行與流通的股票叫做上櫃股票。</w:t>
      </w:r>
    </w:p>
    <w:p w14:paraId="2E5FDE75" w14:textId="77777777" w:rsidR="00D537CC" w:rsidRPr="00186AC5" w:rsidRDefault="00D537CC" w:rsidP="00D537CC">
      <w:pPr>
        <w:ind w:left="360"/>
        <w:rPr>
          <w:rFonts w:ascii="Verdana" w:hAnsi="Verdana"/>
          <w:spacing w:val="20"/>
          <w:szCs w:val="24"/>
          <w:shd w:val="clear" w:color="auto" w:fill="FFFFFF"/>
        </w:rPr>
      </w:pPr>
    </w:p>
    <w:p w14:paraId="2EE5FF94" w14:textId="77777777" w:rsidR="00D537CC" w:rsidRPr="00186AC5" w:rsidRDefault="00D537CC" w:rsidP="00D537CC">
      <w:pPr>
        <w:ind w:left="360"/>
        <w:jc w:val="center"/>
        <w:rPr>
          <w:szCs w:val="24"/>
        </w:rPr>
      </w:pPr>
      <w:r w:rsidRPr="00186AC5">
        <w:rPr>
          <w:rFonts w:hint="eastAsia"/>
          <w:szCs w:val="24"/>
        </w:rPr>
        <w:t>衍生性金融商品的功能與影響</w:t>
      </w:r>
    </w:p>
    <w:p w14:paraId="488A98C6" w14:textId="77777777" w:rsidR="00D537CC" w:rsidRPr="00186AC5" w:rsidRDefault="00D537CC" w:rsidP="002F2A9B">
      <w:pPr>
        <w:pStyle w:val="a3"/>
        <w:numPr>
          <w:ilvl w:val="0"/>
          <w:numId w:val="16"/>
        </w:numPr>
        <w:ind w:leftChars="0"/>
      </w:pPr>
      <w:r w:rsidRPr="00186AC5">
        <w:rPr>
          <w:rFonts w:hint="eastAsia"/>
        </w:rPr>
        <w:t>價格發現的功能</w:t>
      </w:r>
    </w:p>
    <w:p w14:paraId="0813ACC4" w14:textId="77777777" w:rsidR="00D537CC" w:rsidRPr="00186AC5" w:rsidRDefault="00D537CC" w:rsidP="00D537CC">
      <w:pPr>
        <w:pStyle w:val="a3"/>
        <w:ind w:leftChars="0" w:left="720"/>
      </w:pPr>
      <w:r w:rsidRPr="00186AC5">
        <w:rPr>
          <w:rFonts w:hint="eastAsia"/>
        </w:rPr>
        <w:lastRenderedPageBreak/>
        <w:t xml:space="preserve"> 衍生性金融商品的價值會隨著其所依附之證券或資產價值而波動；換言之，衍生性金融商品的價格與其標的物的價格具有密不可分的關係。以期貨為例，其價格是由市場根據其標的現貨未來價格的走勢所形成的預期，因此期貨價格也可作為未來現貨價格的參考指標。而為了要讓期貨的價格發現功能獲得發揮，期貨市場的開盤時間通常會早於現貨價格的參考指標。如台灣期貨市場的開盤時間即早於現貨市場15分鐘，投資人即可依據期貨市場的開盤狀況，研判當日現貨行情的走勢，以決定未來的操作策略。此外，當有一重大訊息時，衍生性金融商品的交易成本通常較小且為單一商品，其價格也較能迅速反應此一訊息。以股價指數期貨為例，其現貨指數通常由數百支股票所形成，若要由這些股票完全反映完此一新的消息，可能必須花費一段時間；相對的，股價指數期貨是一項單一的商品，投資人要將此訊息反映在期貨價格上似乎</w:t>
      </w:r>
    </w:p>
    <w:p w14:paraId="75D77D98" w14:textId="77777777" w:rsidR="00D537CC" w:rsidRPr="00186AC5" w:rsidRDefault="00D537CC" w:rsidP="00D537CC">
      <w:pPr>
        <w:pStyle w:val="a3"/>
        <w:ind w:leftChars="0" w:left="720"/>
      </w:pPr>
      <w:r w:rsidRPr="00186AC5">
        <w:rPr>
          <w:rFonts w:hint="eastAsia"/>
        </w:rPr>
        <w:t>較為容易。因此，衍生性金融商品大多具有價格發現的功能</w:t>
      </w:r>
    </w:p>
    <w:p w14:paraId="66FA185E" w14:textId="77777777" w:rsidR="00D537CC" w:rsidRPr="00186AC5" w:rsidRDefault="00D537CC" w:rsidP="002F2A9B">
      <w:pPr>
        <w:pStyle w:val="a3"/>
        <w:numPr>
          <w:ilvl w:val="0"/>
          <w:numId w:val="16"/>
        </w:numPr>
        <w:ind w:leftChars="0"/>
      </w:pPr>
      <w:r w:rsidRPr="00186AC5">
        <w:rPr>
          <w:rFonts w:hint="eastAsia"/>
        </w:rPr>
        <w:t>提供風險管理的工具</w:t>
      </w:r>
    </w:p>
    <w:p w14:paraId="2385BA92" w14:textId="77777777" w:rsidR="00D537CC" w:rsidRPr="00186AC5" w:rsidRDefault="00D537CC" w:rsidP="00D537CC">
      <w:pPr>
        <w:rPr>
          <w:szCs w:val="24"/>
        </w:rPr>
      </w:pPr>
      <w:r w:rsidRPr="00186AC5">
        <w:rPr>
          <w:rFonts w:hint="eastAsia"/>
          <w:szCs w:val="24"/>
        </w:rPr>
        <w:t>在當前瞬息萬變的市場上，不管是投資人或一般的企業隨時會面臨各式各樣的風險，如原物料價格的風險、產品價格的風險、股市的風險、匯率的風險、利率的風險，而這些風險的存在，對投資人或企業而言，則會影響其投資或營運的績效。為了讓投資人或企業能控管風險，使其投資或營運績效不受影響，市場便推出各式各樣的衍生性金融商品，作為風險管理的工具。因此衍生性金融商品最主要功能，即在於［避險］的功能。衍生性金融商品之所以具備避險的功能，在於其價格與標的物價格之間具有非常密切的關係，而避險者即利用這種關係，針對欲規避的標的物，進行衍生性金融商品的反向操作，希望衍生性金融商品的獲利能彌補現貨部位的損失。例如</w:t>
      </w:r>
      <w:r w:rsidRPr="00186AC5">
        <w:rPr>
          <w:rFonts w:hint="eastAsia"/>
          <w:szCs w:val="24"/>
        </w:rPr>
        <w:t>:</w:t>
      </w:r>
      <w:r w:rsidRPr="00186AC5">
        <w:rPr>
          <w:rFonts w:hint="eastAsia"/>
          <w:szCs w:val="24"/>
        </w:rPr>
        <w:t>台灣出口廠商欲規避未來新台幣升值或美元貶值的風險，即能以賣出遠期外匯</w:t>
      </w:r>
      <w:r w:rsidRPr="00186AC5">
        <w:rPr>
          <w:rFonts w:hint="eastAsia"/>
          <w:szCs w:val="24"/>
        </w:rPr>
        <w:t>(</w:t>
      </w:r>
      <w:r w:rsidRPr="00186AC5">
        <w:rPr>
          <w:rFonts w:hint="eastAsia"/>
          <w:szCs w:val="24"/>
        </w:rPr>
        <w:t>預售美元</w:t>
      </w:r>
      <w:r w:rsidRPr="00186AC5">
        <w:rPr>
          <w:rFonts w:hint="eastAsia"/>
          <w:szCs w:val="24"/>
        </w:rPr>
        <w:t>)</w:t>
      </w:r>
      <w:r w:rsidRPr="00186AC5">
        <w:rPr>
          <w:rFonts w:hint="eastAsia"/>
          <w:szCs w:val="24"/>
        </w:rPr>
        <w:t>的方式來進行匯率風險的管理；股票型基金為了規避股市下跌的風險，也可在期貨市場賣出股價指數期貨進行避險。</w:t>
      </w:r>
    </w:p>
    <w:p w14:paraId="5C534682" w14:textId="77777777" w:rsidR="00D537CC" w:rsidRPr="00186AC5" w:rsidRDefault="00D537CC" w:rsidP="002F2A9B">
      <w:pPr>
        <w:pStyle w:val="a3"/>
        <w:numPr>
          <w:ilvl w:val="0"/>
          <w:numId w:val="16"/>
        </w:numPr>
        <w:ind w:leftChars="0"/>
      </w:pPr>
      <w:r w:rsidRPr="00186AC5">
        <w:rPr>
          <w:rFonts w:hint="eastAsia"/>
        </w:rPr>
        <w:t>提供多樣化的投資工具</w:t>
      </w:r>
    </w:p>
    <w:p w14:paraId="01C4D068" w14:textId="77777777" w:rsidR="00D537CC" w:rsidRPr="00186AC5" w:rsidRDefault="00D537CC" w:rsidP="00D537CC">
      <w:pPr>
        <w:rPr>
          <w:szCs w:val="24"/>
        </w:rPr>
      </w:pPr>
      <w:r w:rsidRPr="00186AC5">
        <w:rPr>
          <w:rFonts w:hint="eastAsia"/>
          <w:szCs w:val="24"/>
        </w:rPr>
        <w:t>衍生性金融商品由於僅需投入少量資金即可從事相當於現貨部位的操作，運用槓桿的程度相當高，投資風險較傳統金融商品大，投機意味濃厚。然而，若能使用得當，衍生性金融商品也可為投機者提供豐富的報酬。由於投機者本身並沒有現貨部位，其利用衍生性金融商品進行投機操作時，必須對於本身所暴露的風險程度非常瞭解。</w:t>
      </w:r>
    </w:p>
    <w:p w14:paraId="767BDDD3" w14:textId="77777777" w:rsidR="00D537CC" w:rsidRPr="00186AC5" w:rsidRDefault="00D537CC" w:rsidP="002F2A9B">
      <w:pPr>
        <w:pStyle w:val="a3"/>
        <w:numPr>
          <w:ilvl w:val="0"/>
          <w:numId w:val="16"/>
        </w:numPr>
        <w:ind w:leftChars="0"/>
      </w:pPr>
      <w:r w:rsidRPr="00186AC5">
        <w:rPr>
          <w:rFonts w:hint="eastAsia"/>
        </w:rPr>
        <w:t>促進市場的流動性與效率性</w:t>
      </w:r>
    </w:p>
    <w:p w14:paraId="08F9E2C4" w14:textId="77777777" w:rsidR="00D537CC" w:rsidRPr="00186AC5" w:rsidRDefault="00D537CC" w:rsidP="00D537CC">
      <w:pPr>
        <w:rPr>
          <w:szCs w:val="24"/>
        </w:rPr>
      </w:pPr>
      <w:r w:rsidRPr="00186AC5">
        <w:rPr>
          <w:rFonts w:hint="eastAsia"/>
          <w:szCs w:val="24"/>
        </w:rPr>
        <w:t>衍生性金融商品的避險功能，可讓投資人在操作現貨市場時較無後顧之憂，因可利用衍生性金融商品將風險控制在可忍受的範圍，以賺取合理的報酬。例如過去台灣沒有期貨與選擇權市場，外資便不敢大舉進入股市，因為沒有合適的避險工具，間接影響了台灣股市的資金動能及流動性。因此，衍生性金融商品市場的發展，也可活絡現貨市場的交易，提高其流動性。</w:t>
      </w:r>
    </w:p>
    <w:p w14:paraId="757D2E06" w14:textId="77777777" w:rsidR="00D537CC" w:rsidRPr="00186AC5" w:rsidRDefault="00D537CC" w:rsidP="00D537CC">
      <w:pPr>
        <w:rPr>
          <w:szCs w:val="24"/>
        </w:rPr>
      </w:pPr>
      <w:r w:rsidRPr="00186AC5">
        <w:rPr>
          <w:rFonts w:hint="eastAsia"/>
          <w:szCs w:val="24"/>
        </w:rPr>
        <w:t>此外，衍生性金融商品的價格與現貨存在一定關係，當兩者的價格關係發生偏離</w:t>
      </w:r>
      <w:r w:rsidRPr="00186AC5">
        <w:rPr>
          <w:rFonts w:hint="eastAsia"/>
          <w:szCs w:val="24"/>
        </w:rPr>
        <w:lastRenderedPageBreak/>
        <w:t>時，市場便有套利的空間。此時套利者便會在市場上從事套利的活動，而套利的活動則會使兩者的關係的價格關係趨於合理，直到沒有套利空間。因此，衍生性金融商品的存在也可促進市場的流動性。</w:t>
      </w:r>
    </w:p>
    <w:p w14:paraId="5E5B9E8E" w14:textId="77777777" w:rsidR="00D537CC" w:rsidRPr="00186AC5" w:rsidRDefault="00D537CC" w:rsidP="002F2A9B">
      <w:pPr>
        <w:numPr>
          <w:ilvl w:val="0"/>
          <w:numId w:val="9"/>
        </w:numPr>
        <w:jc w:val="center"/>
        <w:rPr>
          <w:color w:val="FF0000"/>
          <w:szCs w:val="24"/>
        </w:rPr>
      </w:pPr>
      <w:r w:rsidRPr="00186AC5">
        <w:rPr>
          <w:rFonts w:hint="eastAsia"/>
          <w:color w:val="FF0000"/>
          <w:szCs w:val="24"/>
        </w:rPr>
        <w:t>選擇權</w:t>
      </w:r>
    </w:p>
    <w:p w14:paraId="7BDE8985" w14:textId="77777777" w:rsidR="00D537CC" w:rsidRPr="00186AC5" w:rsidRDefault="00D537CC" w:rsidP="002F2A9B">
      <w:pPr>
        <w:numPr>
          <w:ilvl w:val="0"/>
          <w:numId w:val="10"/>
        </w:numPr>
        <w:rPr>
          <w:szCs w:val="24"/>
        </w:rPr>
      </w:pPr>
      <w:r w:rsidRPr="00186AC5">
        <w:rPr>
          <w:rFonts w:hint="eastAsia"/>
          <w:szCs w:val="24"/>
        </w:rPr>
        <w:t>定義</w:t>
      </w:r>
      <w:r w:rsidRPr="00186AC5">
        <w:rPr>
          <w:rFonts w:hint="eastAsia"/>
          <w:szCs w:val="24"/>
        </w:rPr>
        <w:t xml:space="preserve">: </w:t>
      </w:r>
      <w:r w:rsidRPr="00186AC5">
        <w:rPr>
          <w:rFonts w:hint="eastAsia"/>
          <w:szCs w:val="24"/>
        </w:rPr>
        <w:t>是一種</w:t>
      </w:r>
      <w:r w:rsidRPr="00186AC5">
        <w:rPr>
          <w:rFonts w:hint="eastAsia"/>
          <w:b/>
          <w:bCs/>
          <w:szCs w:val="24"/>
        </w:rPr>
        <w:t>衍生性商品</w:t>
      </w:r>
      <w:r w:rsidRPr="00186AC5">
        <w:rPr>
          <w:rFonts w:hint="eastAsia"/>
          <w:b/>
          <w:bCs/>
          <w:szCs w:val="24"/>
        </w:rPr>
        <w:t>(</w:t>
      </w:r>
      <w:r w:rsidRPr="00186AC5">
        <w:rPr>
          <w:rFonts w:hint="eastAsia"/>
          <w:szCs w:val="24"/>
        </w:rPr>
        <w:t>Derivatives</w:t>
      </w:r>
      <w:r w:rsidRPr="00186AC5">
        <w:rPr>
          <w:rFonts w:hint="eastAsia"/>
          <w:b/>
          <w:bCs/>
          <w:szCs w:val="24"/>
        </w:rPr>
        <w:t>)</w:t>
      </w:r>
      <w:r w:rsidRPr="00186AC5">
        <w:rPr>
          <w:rFonts w:hint="eastAsia"/>
          <w:szCs w:val="24"/>
        </w:rPr>
        <w:t xml:space="preserve"> </w:t>
      </w:r>
      <w:r w:rsidRPr="00186AC5">
        <w:rPr>
          <w:rFonts w:hint="eastAsia"/>
          <w:b/>
          <w:bCs/>
          <w:szCs w:val="24"/>
        </w:rPr>
        <w:t>契約</w:t>
      </w:r>
      <w:r w:rsidRPr="00186AC5">
        <w:rPr>
          <w:rFonts w:hint="eastAsia"/>
          <w:szCs w:val="24"/>
        </w:rPr>
        <w:t>。持有人有權在未來某一段期間內（或某一特定日期），以約定的價格向賣方買進或賣出一定數量的標的資產（</w:t>
      </w:r>
      <w:r w:rsidRPr="00186AC5">
        <w:rPr>
          <w:rFonts w:hint="eastAsia"/>
          <w:szCs w:val="24"/>
        </w:rPr>
        <w:t>Underlying Asset</w:t>
      </w:r>
      <w:r w:rsidRPr="00186AC5">
        <w:rPr>
          <w:rFonts w:hint="eastAsia"/>
          <w:szCs w:val="24"/>
        </w:rPr>
        <w:t>）。當買權標的物的市場價格高於契約所訂的履約價格，則此買權有履約價值，買方可行使權利，以獲取價差。另外選擇權同樣具有避險的功能。例如有一投資人小張，手中持有</w:t>
      </w:r>
      <w:r w:rsidRPr="00186AC5">
        <w:rPr>
          <w:rFonts w:hint="eastAsia"/>
          <w:szCs w:val="24"/>
        </w:rPr>
        <w:t>2</w:t>
      </w:r>
      <w:r w:rsidRPr="00186AC5">
        <w:rPr>
          <w:rFonts w:hint="eastAsia"/>
          <w:szCs w:val="24"/>
        </w:rPr>
        <w:t>張台積電股票，買進的成本為每股</w:t>
      </w:r>
      <w:r w:rsidRPr="00186AC5">
        <w:rPr>
          <w:rFonts w:hint="eastAsia"/>
          <w:szCs w:val="24"/>
        </w:rPr>
        <w:t>170</w:t>
      </w:r>
      <w:r w:rsidRPr="00186AC5">
        <w:rPr>
          <w:rFonts w:hint="eastAsia"/>
          <w:szCs w:val="24"/>
        </w:rPr>
        <w:t>元，權利金</w:t>
      </w:r>
      <w:r w:rsidRPr="00186AC5">
        <w:rPr>
          <w:rFonts w:hint="eastAsia"/>
          <w:szCs w:val="24"/>
        </w:rPr>
        <w:t>5</w:t>
      </w:r>
      <w:r w:rsidRPr="00186AC5">
        <w:rPr>
          <w:rFonts w:hint="eastAsia"/>
          <w:szCs w:val="24"/>
        </w:rPr>
        <w:t>點</w:t>
      </w:r>
      <w:r w:rsidRPr="00186AC5">
        <w:rPr>
          <w:rFonts w:hint="eastAsia"/>
          <w:szCs w:val="24"/>
        </w:rPr>
        <w:t>(</w:t>
      </w:r>
      <w:r w:rsidRPr="00186AC5">
        <w:rPr>
          <w:rFonts w:hint="eastAsia"/>
          <w:szCs w:val="24"/>
        </w:rPr>
        <w:t>每點價值</w:t>
      </w:r>
      <w:r w:rsidRPr="00186AC5">
        <w:rPr>
          <w:rFonts w:hint="eastAsia"/>
          <w:szCs w:val="24"/>
        </w:rPr>
        <w:t>2000</w:t>
      </w:r>
      <w:r w:rsidRPr="00186AC5">
        <w:rPr>
          <w:rFonts w:hint="eastAsia"/>
          <w:szCs w:val="24"/>
        </w:rPr>
        <w:t>元</w:t>
      </w:r>
      <w:r w:rsidRPr="00186AC5">
        <w:rPr>
          <w:rFonts w:hint="eastAsia"/>
          <w:szCs w:val="24"/>
        </w:rPr>
        <w:t>)</w:t>
      </w:r>
      <w:r w:rsidRPr="00186AC5">
        <w:rPr>
          <w:rFonts w:hint="eastAsia"/>
          <w:szCs w:val="24"/>
        </w:rPr>
        <w:t>，則小張可以支付</w:t>
      </w:r>
      <w:r w:rsidRPr="00186AC5">
        <w:rPr>
          <w:rFonts w:hint="eastAsia"/>
          <w:szCs w:val="24"/>
        </w:rPr>
        <w:t>10000</w:t>
      </w:r>
      <w:r w:rsidRPr="00186AC5">
        <w:rPr>
          <w:rFonts w:hint="eastAsia"/>
          <w:szCs w:val="24"/>
        </w:rPr>
        <w:t>元</w:t>
      </w:r>
      <w:r w:rsidRPr="00186AC5">
        <w:rPr>
          <w:rFonts w:hint="eastAsia"/>
          <w:szCs w:val="24"/>
        </w:rPr>
        <w:t>(2000*5)</w:t>
      </w:r>
      <w:r w:rsidRPr="00186AC5">
        <w:rPr>
          <w:rFonts w:hint="eastAsia"/>
          <w:szCs w:val="24"/>
        </w:rPr>
        <w:t>的權利金買進賣權，取得未來以每股</w:t>
      </w:r>
      <w:r w:rsidRPr="00186AC5">
        <w:rPr>
          <w:rFonts w:hint="eastAsia"/>
          <w:szCs w:val="24"/>
        </w:rPr>
        <w:t>170</w:t>
      </w:r>
      <w:r w:rsidRPr="00186AC5">
        <w:rPr>
          <w:rFonts w:hint="eastAsia"/>
          <w:szCs w:val="24"/>
        </w:rPr>
        <w:t>元價格賣出台積電股票的權利。</w:t>
      </w:r>
    </w:p>
    <w:p w14:paraId="234EAEA7" w14:textId="77777777" w:rsidR="00D537CC" w:rsidRPr="00186AC5" w:rsidRDefault="00D537CC" w:rsidP="002F2A9B">
      <w:pPr>
        <w:numPr>
          <w:ilvl w:val="0"/>
          <w:numId w:val="10"/>
        </w:numPr>
        <w:rPr>
          <w:szCs w:val="24"/>
        </w:rPr>
      </w:pPr>
      <w:r w:rsidRPr="00186AC5">
        <w:rPr>
          <w:rFonts w:hint="eastAsia"/>
          <w:szCs w:val="24"/>
        </w:rPr>
        <w:t>買方有權利，而賣方則有義務去履行買方所要求的權利</w:t>
      </w:r>
    </w:p>
    <w:p w14:paraId="1C8EEF8C" w14:textId="77777777" w:rsidR="00D537CC" w:rsidRPr="00186AC5" w:rsidRDefault="00D537CC" w:rsidP="002F2A9B">
      <w:pPr>
        <w:numPr>
          <w:ilvl w:val="0"/>
          <w:numId w:val="10"/>
        </w:numPr>
        <w:rPr>
          <w:szCs w:val="24"/>
        </w:rPr>
      </w:pPr>
      <w:r w:rsidRPr="00186AC5">
        <w:rPr>
          <w:rFonts w:hint="eastAsia"/>
          <w:szCs w:val="24"/>
        </w:rPr>
        <w:t>有一定的有效期限，超過期限就沒有價值</w:t>
      </w:r>
      <w:r w:rsidRPr="00186AC5">
        <w:rPr>
          <w:rFonts w:hint="eastAsia"/>
          <w:szCs w:val="24"/>
        </w:rPr>
        <w:t>!</w:t>
      </w:r>
      <w:r w:rsidRPr="00186AC5">
        <w:rPr>
          <w:rFonts w:hint="eastAsia"/>
          <w:szCs w:val="24"/>
        </w:rPr>
        <w:t>履約月份。</w:t>
      </w:r>
    </w:p>
    <w:p w14:paraId="32888E26" w14:textId="77777777" w:rsidR="00D537CC" w:rsidRPr="00186AC5" w:rsidRDefault="00D537CC" w:rsidP="002F2A9B">
      <w:pPr>
        <w:numPr>
          <w:ilvl w:val="0"/>
          <w:numId w:val="10"/>
        </w:numPr>
        <w:rPr>
          <w:szCs w:val="24"/>
        </w:rPr>
      </w:pPr>
      <w:r w:rsidRPr="00186AC5">
        <w:rPr>
          <w:rFonts w:hint="eastAsia"/>
          <w:szCs w:val="24"/>
        </w:rPr>
        <w:t>約定價格是雙方事先約定的履約價格。</w:t>
      </w:r>
    </w:p>
    <w:p w14:paraId="3BC21BCD" w14:textId="77777777" w:rsidR="00D537CC" w:rsidRPr="00186AC5" w:rsidRDefault="00D537CC" w:rsidP="002F2A9B">
      <w:pPr>
        <w:numPr>
          <w:ilvl w:val="0"/>
          <w:numId w:val="10"/>
        </w:numPr>
        <w:rPr>
          <w:szCs w:val="24"/>
        </w:rPr>
      </w:pPr>
      <w:r w:rsidRPr="00186AC5">
        <w:rPr>
          <w:rFonts w:hint="eastAsia"/>
          <w:szCs w:val="24"/>
        </w:rPr>
        <w:t>具有買進標的物（買權）和賣出標的物（賣權）之分，是兩種不同的合約</w:t>
      </w:r>
      <w:r w:rsidRPr="00186AC5">
        <w:rPr>
          <w:rFonts w:hint="eastAsia"/>
          <w:szCs w:val="24"/>
        </w:rPr>
        <w:t>~</w:t>
      </w:r>
      <w:r w:rsidRPr="00186AC5">
        <w:rPr>
          <w:rFonts w:hint="eastAsia"/>
          <w:szCs w:val="24"/>
        </w:rPr>
        <w:t>買權</w:t>
      </w:r>
      <w:r w:rsidRPr="00186AC5">
        <w:rPr>
          <w:rFonts w:hint="eastAsia"/>
          <w:szCs w:val="24"/>
        </w:rPr>
        <w:t>Call &amp; </w:t>
      </w:r>
      <w:r w:rsidRPr="00186AC5">
        <w:rPr>
          <w:rFonts w:hint="eastAsia"/>
          <w:szCs w:val="24"/>
        </w:rPr>
        <w:t>賣權</w:t>
      </w:r>
      <w:r w:rsidRPr="00186AC5">
        <w:rPr>
          <w:rFonts w:hint="eastAsia"/>
          <w:szCs w:val="24"/>
        </w:rPr>
        <w:t>Put</w:t>
      </w:r>
    </w:p>
    <w:p w14:paraId="20B152B4" w14:textId="77777777" w:rsidR="00D537CC" w:rsidRPr="00186AC5" w:rsidRDefault="00D537CC" w:rsidP="002F2A9B">
      <w:pPr>
        <w:numPr>
          <w:ilvl w:val="0"/>
          <w:numId w:val="10"/>
        </w:numPr>
        <w:rPr>
          <w:szCs w:val="24"/>
        </w:rPr>
      </w:pPr>
      <w:r w:rsidRPr="00186AC5">
        <w:rPr>
          <w:rFonts w:hint="eastAsia"/>
          <w:szCs w:val="24"/>
        </w:rPr>
        <w:t>標的資產是事先約定的，可以是股票、外匯、債券、農產品…等。</w:t>
      </w:r>
    </w:p>
    <w:tbl>
      <w:tblPr>
        <w:tblStyle w:val="a5"/>
        <w:tblW w:w="0" w:type="auto"/>
        <w:tblInd w:w="425" w:type="dxa"/>
        <w:tblLook w:val="04A0" w:firstRow="1" w:lastRow="0" w:firstColumn="1" w:lastColumn="0" w:noHBand="0" w:noVBand="1"/>
      </w:tblPr>
      <w:tblGrid>
        <w:gridCol w:w="2624"/>
        <w:gridCol w:w="2900"/>
        <w:gridCol w:w="2347"/>
      </w:tblGrid>
      <w:tr w:rsidR="00D537CC" w:rsidRPr="00186AC5" w14:paraId="74C7E40E" w14:textId="77777777" w:rsidTr="00FD2B53">
        <w:tc>
          <w:tcPr>
            <w:tcW w:w="2624" w:type="dxa"/>
          </w:tcPr>
          <w:p w14:paraId="4DBE84F4" w14:textId="77777777" w:rsidR="00D537CC" w:rsidRPr="00186AC5" w:rsidRDefault="00D537CC" w:rsidP="00FD2B53">
            <w:pPr>
              <w:rPr>
                <w:szCs w:val="24"/>
              </w:rPr>
            </w:pPr>
          </w:p>
        </w:tc>
        <w:tc>
          <w:tcPr>
            <w:tcW w:w="2900" w:type="dxa"/>
          </w:tcPr>
          <w:p w14:paraId="20FF5C02" w14:textId="77777777" w:rsidR="00D537CC" w:rsidRPr="00186AC5" w:rsidRDefault="00D537CC" w:rsidP="00FD2B53">
            <w:pPr>
              <w:rPr>
                <w:szCs w:val="24"/>
              </w:rPr>
            </w:pPr>
            <w:r w:rsidRPr="00186AC5">
              <w:rPr>
                <w:rFonts w:hint="eastAsia"/>
                <w:szCs w:val="24"/>
              </w:rPr>
              <w:t>選擇權買方</w:t>
            </w:r>
          </w:p>
        </w:tc>
        <w:tc>
          <w:tcPr>
            <w:tcW w:w="2347" w:type="dxa"/>
          </w:tcPr>
          <w:p w14:paraId="7F798A9F" w14:textId="77777777" w:rsidR="00D537CC" w:rsidRPr="00186AC5" w:rsidRDefault="00D537CC" w:rsidP="00FD2B53">
            <w:pPr>
              <w:rPr>
                <w:szCs w:val="24"/>
              </w:rPr>
            </w:pPr>
            <w:r w:rsidRPr="00186AC5">
              <w:rPr>
                <w:rFonts w:hint="eastAsia"/>
                <w:szCs w:val="24"/>
              </w:rPr>
              <w:t>選擇權賣方</w:t>
            </w:r>
          </w:p>
        </w:tc>
      </w:tr>
      <w:tr w:rsidR="00D537CC" w:rsidRPr="00186AC5" w14:paraId="0C07D70E" w14:textId="77777777" w:rsidTr="00FD2B53">
        <w:tc>
          <w:tcPr>
            <w:tcW w:w="2624" w:type="dxa"/>
          </w:tcPr>
          <w:p w14:paraId="3384D550" w14:textId="77777777" w:rsidR="00D537CC" w:rsidRPr="00186AC5" w:rsidRDefault="00D537CC" w:rsidP="00FD2B53">
            <w:pPr>
              <w:rPr>
                <w:szCs w:val="24"/>
              </w:rPr>
            </w:pPr>
            <w:r w:rsidRPr="00186AC5">
              <w:rPr>
                <w:rFonts w:hint="eastAsia"/>
                <w:szCs w:val="24"/>
              </w:rPr>
              <w:t>權利與義務</w:t>
            </w:r>
          </w:p>
        </w:tc>
        <w:tc>
          <w:tcPr>
            <w:tcW w:w="2900" w:type="dxa"/>
          </w:tcPr>
          <w:p w14:paraId="09F82B04" w14:textId="77777777" w:rsidR="00D537CC" w:rsidRPr="00186AC5" w:rsidRDefault="00D537CC" w:rsidP="00FD2B53">
            <w:pPr>
              <w:rPr>
                <w:szCs w:val="24"/>
              </w:rPr>
            </w:pPr>
            <w:r w:rsidRPr="00186AC5">
              <w:rPr>
                <w:rFonts w:hint="eastAsia"/>
                <w:szCs w:val="24"/>
              </w:rPr>
              <w:t>有權力要求賣方履約</w:t>
            </w:r>
          </w:p>
        </w:tc>
        <w:tc>
          <w:tcPr>
            <w:tcW w:w="2347" w:type="dxa"/>
          </w:tcPr>
          <w:p w14:paraId="109700D6" w14:textId="77777777" w:rsidR="00D537CC" w:rsidRPr="00186AC5" w:rsidRDefault="00D537CC" w:rsidP="00FD2B53">
            <w:pPr>
              <w:rPr>
                <w:szCs w:val="24"/>
              </w:rPr>
            </w:pPr>
            <w:r w:rsidRPr="00186AC5">
              <w:rPr>
                <w:rFonts w:hint="eastAsia"/>
                <w:szCs w:val="24"/>
              </w:rPr>
              <w:t>有義務必須履約</w:t>
            </w:r>
          </w:p>
        </w:tc>
      </w:tr>
      <w:tr w:rsidR="00D537CC" w:rsidRPr="00186AC5" w14:paraId="3F8E133D" w14:textId="77777777" w:rsidTr="00FD2B53">
        <w:tc>
          <w:tcPr>
            <w:tcW w:w="2624" w:type="dxa"/>
          </w:tcPr>
          <w:p w14:paraId="23D1E83D" w14:textId="77777777" w:rsidR="00D537CC" w:rsidRPr="00186AC5" w:rsidRDefault="00D537CC" w:rsidP="00FD2B53">
            <w:pPr>
              <w:rPr>
                <w:szCs w:val="24"/>
              </w:rPr>
            </w:pPr>
            <w:r w:rsidRPr="00186AC5">
              <w:rPr>
                <w:rFonts w:hint="eastAsia"/>
                <w:szCs w:val="24"/>
              </w:rPr>
              <w:t>代價</w:t>
            </w:r>
          </w:p>
        </w:tc>
        <w:tc>
          <w:tcPr>
            <w:tcW w:w="2900" w:type="dxa"/>
          </w:tcPr>
          <w:p w14:paraId="46C72FD2" w14:textId="77777777" w:rsidR="00D537CC" w:rsidRPr="00186AC5" w:rsidRDefault="00D537CC" w:rsidP="00FD2B53">
            <w:pPr>
              <w:rPr>
                <w:szCs w:val="24"/>
              </w:rPr>
            </w:pPr>
            <w:r w:rsidRPr="00186AC5">
              <w:rPr>
                <w:rFonts w:hint="eastAsia"/>
                <w:szCs w:val="24"/>
              </w:rPr>
              <w:t>支付權利金</w:t>
            </w:r>
          </w:p>
        </w:tc>
        <w:tc>
          <w:tcPr>
            <w:tcW w:w="2347" w:type="dxa"/>
          </w:tcPr>
          <w:p w14:paraId="628265F3" w14:textId="77777777" w:rsidR="00D537CC" w:rsidRPr="00186AC5" w:rsidRDefault="00D537CC" w:rsidP="00FD2B53">
            <w:pPr>
              <w:rPr>
                <w:szCs w:val="24"/>
              </w:rPr>
            </w:pPr>
            <w:r w:rsidRPr="00186AC5">
              <w:rPr>
                <w:rFonts w:hint="eastAsia"/>
                <w:szCs w:val="24"/>
              </w:rPr>
              <w:t>收取權利金，繳交保證金</w:t>
            </w:r>
          </w:p>
        </w:tc>
      </w:tr>
      <w:tr w:rsidR="00D537CC" w:rsidRPr="00186AC5" w14:paraId="0C2AB088" w14:textId="77777777" w:rsidTr="00FD2B53">
        <w:tc>
          <w:tcPr>
            <w:tcW w:w="2624" w:type="dxa"/>
          </w:tcPr>
          <w:p w14:paraId="4884DD95" w14:textId="77777777" w:rsidR="00D537CC" w:rsidRPr="00186AC5" w:rsidRDefault="00D537CC" w:rsidP="00FD2B53">
            <w:pPr>
              <w:rPr>
                <w:szCs w:val="24"/>
              </w:rPr>
            </w:pPr>
            <w:r w:rsidRPr="00186AC5">
              <w:rPr>
                <w:rFonts w:hint="eastAsia"/>
                <w:szCs w:val="24"/>
              </w:rPr>
              <w:t>風險</w:t>
            </w:r>
          </w:p>
        </w:tc>
        <w:tc>
          <w:tcPr>
            <w:tcW w:w="2900" w:type="dxa"/>
          </w:tcPr>
          <w:p w14:paraId="2C356F7A" w14:textId="77777777" w:rsidR="00D537CC" w:rsidRPr="00186AC5" w:rsidRDefault="00D537CC" w:rsidP="00FD2B53">
            <w:pPr>
              <w:rPr>
                <w:szCs w:val="24"/>
              </w:rPr>
            </w:pPr>
            <w:r w:rsidRPr="00186AC5">
              <w:rPr>
                <w:rFonts w:hint="eastAsia"/>
                <w:szCs w:val="24"/>
              </w:rPr>
              <w:t>最大風險是權利金完全損失</w:t>
            </w:r>
          </w:p>
        </w:tc>
        <w:tc>
          <w:tcPr>
            <w:tcW w:w="2347" w:type="dxa"/>
          </w:tcPr>
          <w:p w14:paraId="190266B3" w14:textId="77777777" w:rsidR="00D537CC" w:rsidRPr="00186AC5" w:rsidRDefault="00D537CC" w:rsidP="00FD2B53">
            <w:pPr>
              <w:rPr>
                <w:szCs w:val="24"/>
              </w:rPr>
            </w:pPr>
            <w:r w:rsidRPr="00186AC5">
              <w:rPr>
                <w:rFonts w:hint="eastAsia"/>
                <w:szCs w:val="24"/>
              </w:rPr>
              <w:t>需承擔全部損失風險</w:t>
            </w:r>
          </w:p>
        </w:tc>
      </w:tr>
      <w:tr w:rsidR="00D537CC" w:rsidRPr="00186AC5" w14:paraId="48721705" w14:textId="77777777" w:rsidTr="00FD2B53">
        <w:tc>
          <w:tcPr>
            <w:tcW w:w="2624" w:type="dxa"/>
          </w:tcPr>
          <w:p w14:paraId="5CC2FA2A" w14:textId="77777777" w:rsidR="00D537CC" w:rsidRPr="00186AC5" w:rsidRDefault="00D537CC" w:rsidP="00FD2B53">
            <w:pPr>
              <w:rPr>
                <w:szCs w:val="24"/>
              </w:rPr>
            </w:pPr>
            <w:r w:rsidRPr="00186AC5">
              <w:rPr>
                <w:rFonts w:hint="eastAsia"/>
                <w:szCs w:val="24"/>
              </w:rPr>
              <w:t>利潤</w:t>
            </w:r>
          </w:p>
        </w:tc>
        <w:tc>
          <w:tcPr>
            <w:tcW w:w="2900" w:type="dxa"/>
          </w:tcPr>
          <w:p w14:paraId="3F041644" w14:textId="77777777" w:rsidR="00D537CC" w:rsidRPr="00186AC5" w:rsidRDefault="00D537CC" w:rsidP="00FD2B53">
            <w:pPr>
              <w:rPr>
                <w:szCs w:val="24"/>
              </w:rPr>
            </w:pPr>
            <w:r w:rsidRPr="00186AC5">
              <w:rPr>
                <w:rFonts w:hint="eastAsia"/>
                <w:szCs w:val="24"/>
              </w:rPr>
              <w:t>以小博大，利潤高</w:t>
            </w:r>
          </w:p>
        </w:tc>
        <w:tc>
          <w:tcPr>
            <w:tcW w:w="2347" w:type="dxa"/>
          </w:tcPr>
          <w:p w14:paraId="1AD715F5" w14:textId="77777777" w:rsidR="00D537CC" w:rsidRPr="00186AC5" w:rsidRDefault="00D537CC" w:rsidP="00FD2B53">
            <w:pPr>
              <w:rPr>
                <w:szCs w:val="24"/>
              </w:rPr>
            </w:pPr>
            <w:r w:rsidRPr="00186AC5">
              <w:rPr>
                <w:rFonts w:hint="eastAsia"/>
                <w:szCs w:val="24"/>
              </w:rPr>
              <w:t>收取有限權利金</w:t>
            </w:r>
          </w:p>
        </w:tc>
      </w:tr>
    </w:tbl>
    <w:p w14:paraId="5BE9EB70" w14:textId="77777777" w:rsidR="00D537CC" w:rsidRPr="00186AC5" w:rsidRDefault="00D537CC" w:rsidP="00D537CC">
      <w:pPr>
        <w:ind w:left="360"/>
        <w:rPr>
          <w:szCs w:val="24"/>
        </w:rPr>
      </w:pPr>
    </w:p>
    <w:p w14:paraId="37FA129C" w14:textId="77777777" w:rsidR="00D537CC" w:rsidRPr="00186AC5" w:rsidRDefault="00D537CC" w:rsidP="00D537CC">
      <w:pPr>
        <w:rPr>
          <w:szCs w:val="24"/>
        </w:rPr>
      </w:pPr>
    </w:p>
    <w:p w14:paraId="0FA8CC3B" w14:textId="77777777" w:rsidR="00D537CC" w:rsidRPr="00186AC5" w:rsidRDefault="00D537CC" w:rsidP="00D537CC">
      <w:pPr>
        <w:rPr>
          <w:szCs w:val="24"/>
        </w:rPr>
      </w:pPr>
      <w:r w:rsidRPr="00186AC5">
        <w:rPr>
          <w:rFonts w:hint="eastAsia"/>
          <w:szCs w:val="24"/>
        </w:rPr>
        <w:t>看漲</w:t>
      </w:r>
      <w:r w:rsidRPr="00186AC5">
        <w:rPr>
          <w:rFonts w:hint="eastAsia"/>
          <w:szCs w:val="24"/>
        </w:rPr>
        <w:t>:</w:t>
      </w:r>
      <w:r w:rsidRPr="00186AC5">
        <w:rPr>
          <w:rFonts w:hint="eastAsia"/>
          <w:szCs w:val="24"/>
        </w:rPr>
        <w:t>買進買權，賣出賣權</w:t>
      </w:r>
    </w:p>
    <w:p w14:paraId="59AFB9F1" w14:textId="77777777" w:rsidR="00D537CC" w:rsidRPr="00186AC5" w:rsidRDefault="00D537CC" w:rsidP="00D537CC">
      <w:pPr>
        <w:rPr>
          <w:szCs w:val="24"/>
        </w:rPr>
      </w:pPr>
      <w:r w:rsidRPr="00186AC5">
        <w:rPr>
          <w:rFonts w:hint="eastAsia"/>
          <w:szCs w:val="24"/>
        </w:rPr>
        <w:t>看跌</w:t>
      </w:r>
      <w:r w:rsidRPr="00186AC5">
        <w:rPr>
          <w:rFonts w:hint="eastAsia"/>
          <w:szCs w:val="24"/>
        </w:rPr>
        <w:t>:</w:t>
      </w:r>
      <w:r w:rsidRPr="00186AC5">
        <w:rPr>
          <w:rFonts w:hint="eastAsia"/>
          <w:szCs w:val="24"/>
        </w:rPr>
        <w:t>買進賣權，賣出買權</w:t>
      </w:r>
    </w:p>
    <w:p w14:paraId="457D2978"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hint="eastAsia"/>
          <w:szCs w:val="24"/>
        </w:rPr>
        <w:t xml:space="preserve">(    ) </w:t>
      </w:r>
      <w:r w:rsidRPr="00186AC5">
        <w:rPr>
          <w:rFonts w:hint="eastAsia"/>
          <w:szCs w:val="24"/>
        </w:rPr>
        <w:t>牛刀小試</w:t>
      </w:r>
      <w:r w:rsidRPr="00186AC5">
        <w:rPr>
          <w:rFonts w:hint="eastAsia"/>
          <w:szCs w:val="24"/>
        </w:rPr>
        <w:t>8</w:t>
      </w:r>
      <w:r w:rsidRPr="00186AC5">
        <w:rPr>
          <w:rFonts w:ascii="微軟正黑體" w:eastAsia="微軟正黑體" w:hAnsi="微軟正黑體" w:hint="eastAsia"/>
          <w:color w:val="000000"/>
          <w:szCs w:val="24"/>
          <w:shd w:val="clear" w:color="auto" w:fill="FFFFFF"/>
        </w:rPr>
        <w:t>當看多標的資產價值，且只願意承擔有限風險時，應該如何操作？ (A)買入賣權 (B)賣出賣權 (C)賣出買權 (D)買入買權 </w:t>
      </w:r>
    </w:p>
    <w:p w14:paraId="6DACAF0B"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 xml:space="preserve">(    ) </w:t>
      </w:r>
      <w:r w:rsidRPr="00186AC5">
        <w:rPr>
          <w:rFonts w:hint="eastAsia"/>
          <w:szCs w:val="24"/>
        </w:rPr>
        <w:t>牛刀小試</w:t>
      </w:r>
      <w:r w:rsidRPr="00186AC5">
        <w:rPr>
          <w:rFonts w:hint="eastAsia"/>
          <w:szCs w:val="24"/>
        </w:rPr>
        <w:t>9</w:t>
      </w:r>
      <w:r w:rsidRPr="00186AC5">
        <w:rPr>
          <w:rFonts w:ascii="微軟正黑體" w:eastAsia="微軟正黑體" w:hAnsi="微軟正黑體" w:hint="eastAsia"/>
          <w:color w:val="000000"/>
          <w:szCs w:val="24"/>
          <w:shd w:val="clear" w:color="auto" w:fill="FFFFFF"/>
        </w:rPr>
        <w:t>如「看貶」人民幣，應如何操作？</w:t>
      </w:r>
    </w:p>
    <w:p w14:paraId="14C419A8" w14:textId="77777777" w:rsidR="00D537CC" w:rsidRPr="00186AC5" w:rsidRDefault="00D537CC" w:rsidP="00D537CC">
      <w:pPr>
        <w:rPr>
          <w:szCs w:val="24"/>
        </w:rPr>
      </w:pPr>
      <w:r w:rsidRPr="00186AC5">
        <w:rPr>
          <w:rFonts w:ascii="微軟正黑體" w:eastAsia="微軟正黑體" w:hAnsi="微軟正黑體" w:hint="eastAsia"/>
          <w:color w:val="000000"/>
          <w:szCs w:val="24"/>
          <w:shd w:val="clear" w:color="auto" w:fill="FFFFFF"/>
        </w:rPr>
        <w:t>(A)買入 USD Call CNY Put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(B)買入 USD Put CNY Call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lastRenderedPageBreak/>
        <w:t>(C)賣出 USD Put CNY Call </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(D)買入一連串 USD Call </w:t>
      </w:r>
    </w:p>
    <w:p w14:paraId="421901CC" w14:textId="77777777" w:rsidR="00D537CC" w:rsidRPr="00186AC5" w:rsidRDefault="00D537CC" w:rsidP="00D537CC">
      <w:pPr>
        <w:rPr>
          <w:szCs w:val="24"/>
        </w:rPr>
      </w:pPr>
      <w:r w:rsidRPr="00186AC5">
        <w:rPr>
          <w:rFonts w:ascii="微軟正黑體" w:eastAsia="微軟正黑體" w:hAnsi="微軟正黑體" w:hint="eastAsia"/>
          <w:color w:val="000000"/>
          <w:szCs w:val="24"/>
          <w:shd w:val="clear" w:color="auto" w:fill="FFFFFF"/>
        </w:rPr>
        <w:t>(    )</w:t>
      </w:r>
      <w:r w:rsidRPr="00186AC5">
        <w:rPr>
          <w:rFonts w:hint="eastAsia"/>
          <w:szCs w:val="24"/>
        </w:rPr>
        <w:t xml:space="preserve"> </w:t>
      </w:r>
      <w:r w:rsidRPr="00186AC5">
        <w:rPr>
          <w:rFonts w:hint="eastAsia"/>
          <w:szCs w:val="24"/>
        </w:rPr>
        <w:t>牛刀小試</w:t>
      </w:r>
      <w:r w:rsidRPr="00186AC5">
        <w:rPr>
          <w:rFonts w:hint="eastAsia"/>
          <w:szCs w:val="24"/>
        </w:rPr>
        <w:t>1</w:t>
      </w:r>
      <w:r w:rsidRPr="00186AC5">
        <w:rPr>
          <w:szCs w:val="24"/>
        </w:rPr>
        <w:t>0</w:t>
      </w:r>
      <w:r w:rsidRPr="00186AC5">
        <w:rPr>
          <w:rFonts w:ascii="微軟正黑體" w:eastAsia="微軟正黑體" w:hAnsi="微軟正黑體" w:hint="eastAsia"/>
          <w:color w:val="000000"/>
          <w:szCs w:val="24"/>
          <w:shd w:val="clear" w:color="auto" w:fill="FFFFFF"/>
        </w:rPr>
        <w:t>下列何種交換選擇權類型係指「買方在選擇權契約到期時才可要求賣方履約」？ (A)歐式(B)美式 (C)亞式 (D)百慕達式</w:t>
      </w:r>
    </w:p>
    <w:p w14:paraId="5466B8B0"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    )</w:t>
      </w:r>
      <w:r w:rsidRPr="00186AC5">
        <w:rPr>
          <w:rFonts w:hint="eastAsia"/>
          <w:szCs w:val="24"/>
        </w:rPr>
        <w:t xml:space="preserve"> </w:t>
      </w:r>
      <w:r w:rsidRPr="00186AC5">
        <w:rPr>
          <w:rFonts w:hint="eastAsia"/>
          <w:szCs w:val="24"/>
        </w:rPr>
        <w:t>牛刀小試</w:t>
      </w:r>
      <w:r w:rsidRPr="00186AC5">
        <w:rPr>
          <w:rFonts w:hint="eastAsia"/>
          <w:szCs w:val="24"/>
        </w:rPr>
        <w:t>1</w:t>
      </w:r>
      <w:r w:rsidRPr="00186AC5">
        <w:rPr>
          <w:szCs w:val="24"/>
        </w:rPr>
        <w:t>1</w:t>
      </w:r>
      <w:r w:rsidRPr="00186AC5">
        <w:rPr>
          <w:rFonts w:ascii="微軟正黑體" w:eastAsia="微軟正黑體" w:hAnsi="微軟正黑體" w:hint="eastAsia"/>
          <w:color w:val="000000"/>
          <w:szCs w:val="24"/>
          <w:shd w:val="clear" w:color="auto" w:fill="FFFFFF"/>
        </w:rPr>
        <w:t>有關選擇權之敘述，下列何者錯誤？</w:t>
      </w:r>
    </w:p>
    <w:p w14:paraId="03C82004"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買方須支付權利金，賣方須繳交保證金(B) 預期標的商品價格上漲時，應買入賣權(C) 賣權履約價格愈高，權利金愈高(D) 到期時，其時間價值為零</w:t>
      </w:r>
    </w:p>
    <w:p w14:paraId="2F80F865"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    )</w:t>
      </w:r>
      <w:r w:rsidRPr="00186AC5">
        <w:rPr>
          <w:rFonts w:hint="eastAsia"/>
          <w:szCs w:val="24"/>
        </w:rPr>
        <w:t xml:space="preserve"> </w:t>
      </w:r>
      <w:r w:rsidRPr="00186AC5">
        <w:rPr>
          <w:rFonts w:hint="eastAsia"/>
          <w:szCs w:val="24"/>
        </w:rPr>
        <w:t>牛刀小試</w:t>
      </w:r>
      <w:r w:rsidRPr="00186AC5">
        <w:rPr>
          <w:rFonts w:hint="eastAsia"/>
          <w:szCs w:val="24"/>
        </w:rPr>
        <w:t>1</w:t>
      </w:r>
      <w:r w:rsidRPr="00186AC5">
        <w:rPr>
          <w:szCs w:val="24"/>
        </w:rPr>
        <w:t>2</w:t>
      </w:r>
      <w:r w:rsidRPr="00186AC5">
        <w:rPr>
          <w:rFonts w:ascii="微軟正黑體" w:eastAsia="微軟正黑體" w:hAnsi="微軟正黑體" w:hint="eastAsia"/>
          <w:color w:val="000000"/>
          <w:szCs w:val="24"/>
          <w:shd w:val="clear" w:color="auto" w:fill="FFFFFF"/>
        </w:rPr>
        <w:t>下列有關選擇權的敘述，何者為真?</w:t>
      </w:r>
    </w:p>
    <w:p w14:paraId="01C6045A" w14:textId="77777777" w:rsidR="00D537CC" w:rsidRPr="00186AC5" w:rsidRDefault="00D537CC" w:rsidP="00D537CC">
      <w:pPr>
        <w:rPr>
          <w:rFonts w:ascii="微軟正黑體" w:eastAsia="微軟正黑體" w:hAnsi="微軟正黑體"/>
          <w:color w:val="000000"/>
          <w:szCs w:val="24"/>
          <w:shd w:val="clear" w:color="auto" w:fill="FFFFFF"/>
        </w:rPr>
      </w:pPr>
      <w:r w:rsidRPr="00186AC5">
        <w:rPr>
          <w:rFonts w:ascii="微軟正黑體" w:eastAsia="微軟正黑體" w:hAnsi="微軟正黑體" w:hint="eastAsia"/>
          <w:color w:val="000000"/>
          <w:szCs w:val="24"/>
          <w:shd w:val="clear" w:color="auto" w:fill="FFFFFF"/>
        </w:rPr>
        <w:t>(A)不管購買買權或賣權，均需支付賣方一定額度的權利金</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(B)不論交易 成立與否，此權利金均不退還</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(C)賣方需支付保證金</w:t>
      </w:r>
      <w:r w:rsidRPr="00186AC5">
        <w:rPr>
          <w:rFonts w:ascii="微軟正黑體" w:eastAsia="微軟正黑體" w:hAnsi="微軟正黑體" w:hint="eastAsia"/>
          <w:color w:val="000000"/>
          <w:szCs w:val="24"/>
        </w:rPr>
        <w:br/>
      </w:r>
    </w:p>
    <w:p w14:paraId="24A19304" w14:textId="77777777" w:rsidR="00D537CC" w:rsidRPr="00E37F17" w:rsidRDefault="00D537CC" w:rsidP="00D537CC">
      <w:pPr>
        <w:rPr>
          <w:rFonts w:ascii="微軟正黑體" w:eastAsia="微軟正黑體" w:hAnsi="微軟正黑體"/>
          <w:color w:val="000000"/>
          <w:sz w:val="26"/>
          <w:szCs w:val="26"/>
          <w:shd w:val="clear" w:color="auto" w:fill="FFFFFF"/>
        </w:rPr>
      </w:pPr>
      <w:r w:rsidRPr="00186AC5">
        <w:rPr>
          <w:rFonts w:ascii="微軟正黑體" w:eastAsia="微軟正黑體" w:hAnsi="微軟正黑體" w:hint="eastAsia"/>
          <w:color w:val="000000"/>
          <w:szCs w:val="24"/>
          <w:shd w:val="clear" w:color="auto" w:fill="FFFFFF"/>
        </w:rPr>
        <w:t>(A)A與B</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(B)B與C</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(C)A與C</w:t>
      </w:r>
      <w:r w:rsidRPr="00186AC5">
        <w:rPr>
          <w:rFonts w:ascii="微軟正黑體" w:eastAsia="微軟正黑體" w:hAnsi="微軟正黑體" w:hint="eastAsia"/>
          <w:color w:val="000000"/>
          <w:szCs w:val="24"/>
        </w:rPr>
        <w:br/>
      </w:r>
      <w:r w:rsidRPr="00186AC5">
        <w:rPr>
          <w:rFonts w:ascii="微軟正黑體" w:eastAsia="微軟正黑體" w:hAnsi="微軟正黑體" w:hint="eastAsia"/>
          <w:color w:val="000000"/>
          <w:szCs w:val="24"/>
          <w:shd w:val="clear" w:color="auto" w:fill="FFFFFF"/>
        </w:rPr>
        <w:t>(D)A,B與</w:t>
      </w:r>
      <w:r w:rsidRPr="00E37F17">
        <w:rPr>
          <w:rFonts w:ascii="微軟正黑體" w:eastAsia="微軟正黑體" w:hAnsi="微軟正黑體" w:hint="eastAsia"/>
          <w:color w:val="000000"/>
          <w:sz w:val="26"/>
          <w:szCs w:val="26"/>
          <w:shd w:val="clear" w:color="auto" w:fill="FFFFFF"/>
        </w:rPr>
        <w:t xml:space="preserve">C </w:t>
      </w:r>
    </w:p>
    <w:p w14:paraId="6591BB46" w14:textId="77777777" w:rsidR="00D537CC" w:rsidRPr="00E37F17" w:rsidRDefault="00D537CC" w:rsidP="00D537CC">
      <w:pPr>
        <w:pStyle w:val="a3"/>
        <w:ind w:leftChars="0" w:left="720"/>
        <w:rPr>
          <w:rFonts w:ascii="微軟正黑體" w:eastAsia="微軟正黑體" w:hAnsi="微軟正黑體"/>
        </w:rPr>
      </w:pPr>
    </w:p>
    <w:p w14:paraId="3B85E3DD"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買賣交易雙方在契約成立後，有應買、應賣的權利與義務，但是下列何種契約在交易上具有［風險與報酬不對稱］的特性</w:t>
      </w:r>
      <w:r w:rsidRPr="00DA27A0">
        <w:rPr>
          <w:sz w:val="26"/>
          <w:szCs w:val="26"/>
        </w:rPr>
        <w:t>(A)遠期契</w:t>
      </w:r>
      <w:r w:rsidRPr="00DA27A0">
        <w:rPr>
          <w:rFonts w:hint="eastAsia"/>
          <w:sz w:val="26"/>
          <w:szCs w:val="26"/>
        </w:rPr>
        <w:t>約(</w:t>
      </w:r>
      <w:r w:rsidRPr="00DA27A0">
        <w:rPr>
          <w:sz w:val="26"/>
          <w:szCs w:val="26"/>
        </w:rPr>
        <w:t>B)期貨契約</w:t>
      </w:r>
      <w:r w:rsidRPr="00DA27A0">
        <w:rPr>
          <w:rFonts w:hint="eastAsia"/>
          <w:sz w:val="26"/>
          <w:szCs w:val="26"/>
        </w:rPr>
        <w:t>(</w:t>
      </w:r>
      <w:r w:rsidRPr="00DA27A0">
        <w:rPr>
          <w:sz w:val="26"/>
          <w:szCs w:val="26"/>
        </w:rPr>
        <w:t>C)選擇權契約(D)交換契約</w:t>
      </w:r>
    </w:p>
    <w:p w14:paraId="1A83701A" w14:textId="77777777" w:rsidR="004232BC" w:rsidRPr="00DA27A0" w:rsidRDefault="004232BC" w:rsidP="004232BC">
      <w:pPr>
        <w:pStyle w:val="a3"/>
        <w:widowControl w:val="0"/>
        <w:numPr>
          <w:ilvl w:val="0"/>
          <w:numId w:val="23"/>
        </w:numPr>
        <w:ind w:leftChars="0"/>
        <w:rPr>
          <w:sz w:val="26"/>
          <w:szCs w:val="26"/>
        </w:rPr>
      </w:pPr>
      <w:r w:rsidRPr="00DA27A0">
        <w:rPr>
          <w:sz w:val="26"/>
          <w:szCs w:val="26"/>
        </w:rPr>
        <w:t>下列結構型商品連動標的，何者屬於總體經濟指標(A)個股價格(B)商品</w:t>
      </w:r>
      <w:r w:rsidRPr="00DA27A0">
        <w:rPr>
          <w:sz w:val="26"/>
          <w:szCs w:val="26"/>
        </w:rPr>
        <w:lastRenderedPageBreak/>
        <w:t>價格(C)利率水準(D)違約事件之發生</w:t>
      </w:r>
    </w:p>
    <w:p w14:paraId="3F704E9E" w14:textId="77777777" w:rsidR="004232BC" w:rsidRPr="00DA27A0" w:rsidRDefault="004232BC" w:rsidP="004232BC">
      <w:pPr>
        <w:pStyle w:val="a3"/>
        <w:widowControl w:val="0"/>
        <w:numPr>
          <w:ilvl w:val="0"/>
          <w:numId w:val="23"/>
        </w:numPr>
        <w:ind w:leftChars="0"/>
        <w:rPr>
          <w:sz w:val="26"/>
          <w:szCs w:val="26"/>
        </w:rPr>
      </w:pPr>
      <w:r w:rsidRPr="00DA27A0">
        <w:rPr>
          <w:sz w:val="26"/>
          <w:szCs w:val="26"/>
        </w:rPr>
        <w:t>下列何者</w:t>
      </w:r>
      <w:r w:rsidRPr="00DA27A0">
        <w:rPr>
          <w:rFonts w:hint="eastAsia"/>
          <w:sz w:val="26"/>
          <w:szCs w:val="26"/>
        </w:rPr>
        <w:t>不屬於信用風險?</w:t>
      </w:r>
      <w:r w:rsidRPr="00DA27A0">
        <w:rPr>
          <w:sz w:val="26"/>
          <w:szCs w:val="26"/>
        </w:rPr>
        <w:t>(A)央行升息導致購買的公司債價格下跌(B)因為交易對手違約而導致的損失(C)購買的公司債信用評等惡化(D)購買的公司債無法到期還本</w:t>
      </w:r>
    </w:p>
    <w:p w14:paraId="5284CD94"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依據 IFRS 13 規定，類似資產或負債之活絡市場公開報價，屬於第幾層級之揭露？ (1)第一層級 (2)第二層級 (3)第三層級 (4)第四層級</w:t>
      </w:r>
    </w:p>
    <w:p w14:paraId="4BCF79DC"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甲銀行以 5 元的權利金賣出一檔台積電的歐式買權給投資人，其履約價格為 120 元，買權到期時，台積電股價為 123 元，在不考慮貨幣的時間價值下，請問甲銀行在此檔買權的損益為何？ (1)賠 2 元 (2)賠 5 元 (3)賺 2 元 (4)賺 5 元</w:t>
      </w:r>
    </w:p>
    <w:p w14:paraId="7182D79E"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王小明期初花了 5 元的權利金買入一檔台積電的歐式買權，其履約價格為 120 元，買權到期時，台積電股價為 130 元，在不考慮時間價值下，請問王小明在此檔買權的投資損益為何？ (1)賠 5 元 (2)賠 10 元 (3)賺 5 元 (4)賺 10 元</w:t>
      </w:r>
    </w:p>
    <w:p w14:paraId="4396BB6A"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銀行辦理外匯衍生性商品業務之相關人員中，何者無需每年應參加國內金融訓練機構舉辦或指定銀行自行舉辦之 外匯衍生性商品教育訓練課程？ (1)外匯衍生性商品推介之經辦及相關管理人員 (2)辦理外匯衍生性商品之會計人員 (3)僅負責資料建檔或報表列印人員 (4)法令遵循人員</w:t>
      </w:r>
    </w:p>
    <w:p w14:paraId="08A0A475"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依「銀行辦理衍生性金融商品自律規範」規定，銀行向一般客戶提供結構型商品交易服務之行銷過程控制，下列 敘述何者錯誤？ (1)應向一般客戶宣讀客戶須知之重要內容並以錄音方式保留紀錄 (2)應充分揭露並明確告知各項費用、收取方式及可能涉及風險等 (3)對一般及專業客戶（含自然人、法人）均應提供產品說明書 (4)對專業機構投資人銀行得依其內部程序辦理</w:t>
      </w:r>
    </w:p>
    <w:p w14:paraId="15D1D2E8"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有關銀行辦理複雜性高風險商品應遵循事項，下列何者錯誤？ (1)應核予最高風險評級 (2)客戶應具備賣出選擇權之知識與經驗 (3)限以避險為目的之專業法人客戶承作 (4)向專業機構投資人及高淨值投資法人以外客戶應告知交易重要條件內容及相關風險，並以錄音方式保留紀錄</w:t>
      </w:r>
    </w:p>
    <w:p w14:paraId="2D94BCD0"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依「銀行辦理衍生性金融商品自律規範」規定，結構型商品風險預告書之商品風險揭露應記載事項，不包括下列何 者？ (1)標的資產的市場價格風險 (2)信用風險 (3)作業風險  (4)法律風險</w:t>
      </w:r>
    </w:p>
    <w:p w14:paraId="3E1C49AF"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依「銀行辦理衍生性金融商品業務內部作業制度及程序管理辦法」，銀行辦理衍生性金融商品，應向其申報相關 交易資訊之機構，不包括下列何者？ (1)金融監督管理委員會  (2)財團法人中華民國證券櫃檯買賣中心 (3)財團法人金融聯合徵信中心 (4)中央銀行</w:t>
      </w:r>
    </w:p>
    <w:p w14:paraId="5E439B69"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平均選擇權又被稱為下列何者？ (1)美式選擇權 (2)亞洲式選擇權 (3)障礙選擇權 (4)上限選擇權</w:t>
      </w:r>
    </w:p>
    <w:p w14:paraId="62ADE701"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lastRenderedPageBreak/>
        <w:t>有關選擇權契約的敘述，下列何者正確？ (1)買方有權利，也有義務  (2)賣方有權利，也有義務 (3)買方有權利，但無義務  (4)賣方無權利，也無義務</w:t>
      </w:r>
    </w:p>
    <w:p w14:paraId="448405BA"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關於不同衍生性商品的潛在違約風險，請問下列何者正確？ (1)可以抵沖 (2)不可抵沖 (3)可以忽略 (4)不影響投資人</w:t>
      </w:r>
    </w:p>
    <w:p w14:paraId="17DC8DC9" w14:textId="77777777" w:rsidR="004232BC" w:rsidRPr="00DA27A0" w:rsidRDefault="004232BC" w:rsidP="004232BC">
      <w:pPr>
        <w:pStyle w:val="a3"/>
        <w:widowControl w:val="0"/>
        <w:numPr>
          <w:ilvl w:val="0"/>
          <w:numId w:val="23"/>
        </w:numPr>
        <w:ind w:leftChars="0"/>
        <w:rPr>
          <w:rFonts w:asciiTheme="minorEastAsia" w:hAnsiTheme="minorEastAsia"/>
          <w:sz w:val="26"/>
          <w:szCs w:val="26"/>
        </w:rPr>
      </w:pPr>
      <w:r w:rsidRPr="00DA27A0">
        <w:rPr>
          <w:rFonts w:asciiTheme="minorEastAsia" w:hAnsiTheme="minorEastAsia"/>
          <w:sz w:val="26"/>
          <w:szCs w:val="26"/>
        </w:rPr>
        <w:t>下列何者不是投機交易於衍生性金融商品市場的主要優勢?(A)增加交易量和促進市場流動性(B)放空較為容易，擴大獲利操作方式(C)降低價格波動，具有價格發現功能(D)較成本較低</w:t>
      </w:r>
    </w:p>
    <w:p w14:paraId="03380A00"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依「銀行辦理衍生性金融商品自律規範」規定，有關銀行對屬自然人之一般客戶提供不保本型結構型商品業務， 其應符合之原則，下列敘述何者錯誤？ (1)計價幣別以銀行可受理之幣別（包含人民幣）為限 (2)結構型商品到期結算金額應達原計價幣別本金 60%以上 (3)本金連結外幣匯率選擇權之結構型產品期限不得超過 3 個月 (4)本金連結黃金選擇權之結構型產品期限不得超過 6 個月</w:t>
      </w:r>
    </w:p>
    <w:p w14:paraId="17E45B66" w14:textId="77777777" w:rsidR="004232BC" w:rsidRPr="00DA27A0" w:rsidRDefault="004232BC" w:rsidP="004232BC">
      <w:pPr>
        <w:pStyle w:val="a3"/>
        <w:widowControl w:val="0"/>
        <w:numPr>
          <w:ilvl w:val="0"/>
          <w:numId w:val="23"/>
        </w:numPr>
        <w:ind w:leftChars="0"/>
        <w:rPr>
          <w:sz w:val="26"/>
          <w:szCs w:val="26"/>
        </w:rPr>
      </w:pPr>
      <w:r w:rsidRPr="00DA27A0">
        <w:rPr>
          <w:sz w:val="26"/>
          <w:szCs w:val="26"/>
        </w:rPr>
        <w:t>王董看好台股未來的走勢，想買台股連結的結構型商品，可是擔心商品天期太長，在產品期間內無法獲利了結，讓獲利只是曇花一現，請問王董所擔心的是下列何種風險(A)發行機構的信用風險(B)發行機構的作業風險(C)法律風險(D)流動性風險</w:t>
      </w:r>
    </w:p>
    <w:p w14:paraId="2E9310C7"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銀行指定分行擬辦理經中央銀行許可或函報本行備查之外匯衍生性商品推介業務，其總行向中央銀行申辦之程序為何？ (1)得不經申請逕行辦理 (2)開辦前申請許可 (3)開辦前函報備查 (4)開辦後函報備查</w:t>
      </w:r>
    </w:p>
    <w:p w14:paraId="5AF78007"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高淨值投資法人之資格條件中，其最近一期經會計師查核或核閱之財務報告持有有價證券部位或衍生性金融商品 投資組合應達新臺幣幾元以上？ (1)5,000 萬元 (2)1 億元 (3)10 億元 (4)200 億元</w:t>
      </w:r>
    </w:p>
    <w:p w14:paraId="63F76F4C" w14:textId="77777777" w:rsidR="004232BC" w:rsidRPr="00DA27A0" w:rsidRDefault="004232BC" w:rsidP="004232BC">
      <w:pPr>
        <w:pStyle w:val="a3"/>
        <w:widowControl w:val="0"/>
        <w:numPr>
          <w:ilvl w:val="0"/>
          <w:numId w:val="23"/>
        </w:numPr>
        <w:ind w:leftChars="0"/>
        <w:rPr>
          <w:sz w:val="26"/>
          <w:szCs w:val="26"/>
        </w:rPr>
      </w:pPr>
      <w:r w:rsidRPr="00DA27A0">
        <w:rPr>
          <w:rFonts w:hint="eastAsia"/>
          <w:sz w:val="26"/>
          <w:szCs w:val="26"/>
        </w:rPr>
        <w:t>指定銀行得不經申請逕行辦理之外匯衍生性商品業務，下列敘述何者錯誤？ (1)遠期外匯交易 (2)無本金交割新臺幣遠期外匯交易 (3)換匯交易 (4)業經許可或備查未涉新臺幣之外匯衍生性商品，連結同一風險標的，透過相同交易契約之再行組合，但不含對 專業機構投資人及高淨值投資法人以外之客戶辦理之複雜性高風險外匯衍生性商品</w:t>
      </w:r>
    </w:p>
    <w:p w14:paraId="59504665" w14:textId="77777777" w:rsidR="004232BC" w:rsidRDefault="004232BC" w:rsidP="004232BC">
      <w:pPr>
        <w:pStyle w:val="a3"/>
        <w:widowControl w:val="0"/>
        <w:numPr>
          <w:ilvl w:val="0"/>
          <w:numId w:val="23"/>
        </w:numPr>
        <w:ind w:leftChars="0"/>
        <w:rPr>
          <w:sz w:val="32"/>
          <w:szCs w:val="32"/>
        </w:rPr>
      </w:pPr>
      <w:r w:rsidRPr="00A903C3">
        <w:rPr>
          <w:rFonts w:hint="eastAsia"/>
          <w:sz w:val="32"/>
          <w:szCs w:val="32"/>
        </w:rPr>
        <w:t>期貨交易比遠期交易具有［安全與效率］之優勢主要因哪一單位之建立?</w:t>
      </w:r>
      <w:r>
        <w:rPr>
          <w:sz w:val="32"/>
          <w:szCs w:val="32"/>
        </w:rPr>
        <w:t>(A)</w:t>
      </w:r>
      <w:r>
        <w:rPr>
          <w:rFonts w:hint="eastAsia"/>
          <w:sz w:val="32"/>
          <w:szCs w:val="32"/>
        </w:rPr>
        <w:t>主管機關(</w:t>
      </w:r>
      <w:r>
        <w:rPr>
          <w:sz w:val="32"/>
          <w:szCs w:val="32"/>
        </w:rPr>
        <w:t>B)</w:t>
      </w:r>
      <w:r>
        <w:rPr>
          <w:rFonts w:hint="eastAsia"/>
          <w:sz w:val="32"/>
          <w:szCs w:val="32"/>
        </w:rPr>
        <w:t>公會(</w:t>
      </w:r>
      <w:r>
        <w:rPr>
          <w:sz w:val="32"/>
          <w:szCs w:val="32"/>
        </w:rPr>
        <w:t>C)</w:t>
      </w:r>
      <w:r>
        <w:rPr>
          <w:rFonts w:hint="eastAsia"/>
          <w:sz w:val="32"/>
          <w:szCs w:val="32"/>
        </w:rPr>
        <w:t>期貨交易所(</w:t>
      </w:r>
      <w:r>
        <w:rPr>
          <w:sz w:val="32"/>
          <w:szCs w:val="32"/>
        </w:rPr>
        <w:t>D)</w:t>
      </w:r>
      <w:r>
        <w:rPr>
          <w:rFonts w:hint="eastAsia"/>
          <w:sz w:val="32"/>
          <w:szCs w:val="32"/>
        </w:rPr>
        <w:t>結算所</w:t>
      </w:r>
    </w:p>
    <w:p w14:paraId="77A98919" w14:textId="77777777" w:rsidR="004232BC" w:rsidRDefault="004232BC" w:rsidP="004232BC">
      <w:pPr>
        <w:pStyle w:val="a3"/>
        <w:widowControl w:val="0"/>
        <w:numPr>
          <w:ilvl w:val="0"/>
          <w:numId w:val="23"/>
        </w:numPr>
        <w:ind w:leftChars="0"/>
        <w:rPr>
          <w:sz w:val="32"/>
          <w:szCs w:val="32"/>
        </w:rPr>
      </w:pPr>
      <w:r>
        <w:rPr>
          <w:rFonts w:hint="eastAsia"/>
          <w:sz w:val="32"/>
          <w:szCs w:val="32"/>
        </w:rPr>
        <w:t>下列何者非期貨合約(</w:t>
      </w:r>
      <w:r>
        <w:rPr>
          <w:sz w:val="32"/>
          <w:szCs w:val="32"/>
        </w:rPr>
        <w:t>Future Contract)</w:t>
      </w:r>
      <w:r>
        <w:rPr>
          <w:rFonts w:hint="eastAsia"/>
          <w:sz w:val="32"/>
          <w:szCs w:val="32"/>
        </w:rPr>
        <w:t>之特性?</w:t>
      </w:r>
      <w:r w:rsidRPr="00A903C3">
        <w:rPr>
          <w:sz w:val="32"/>
          <w:szCs w:val="32"/>
        </w:rPr>
        <w:t xml:space="preserve"> </w:t>
      </w:r>
      <w:r>
        <w:rPr>
          <w:sz w:val="32"/>
          <w:szCs w:val="32"/>
        </w:rPr>
        <w:t>(A)</w:t>
      </w:r>
      <w:r>
        <w:rPr>
          <w:rFonts w:hint="eastAsia"/>
          <w:sz w:val="32"/>
          <w:szCs w:val="32"/>
        </w:rPr>
        <w:t>集中競價(</w:t>
      </w:r>
      <w:r>
        <w:rPr>
          <w:sz w:val="32"/>
          <w:szCs w:val="32"/>
        </w:rPr>
        <w:t>B)</w:t>
      </w:r>
      <w:r>
        <w:rPr>
          <w:rFonts w:hint="eastAsia"/>
          <w:sz w:val="32"/>
          <w:szCs w:val="32"/>
        </w:rPr>
        <w:t>每日結算保證金盈虧(</w:t>
      </w:r>
      <w:r>
        <w:rPr>
          <w:sz w:val="32"/>
          <w:szCs w:val="32"/>
        </w:rPr>
        <w:t>C)</w:t>
      </w:r>
      <w:r>
        <w:rPr>
          <w:rFonts w:hint="eastAsia"/>
          <w:sz w:val="32"/>
          <w:szCs w:val="32"/>
        </w:rPr>
        <w:t>買賣雙方直接交易(</w:t>
      </w:r>
      <w:r>
        <w:rPr>
          <w:sz w:val="32"/>
          <w:szCs w:val="32"/>
        </w:rPr>
        <w:t>D)</w:t>
      </w:r>
      <w:r>
        <w:rPr>
          <w:rFonts w:hint="eastAsia"/>
          <w:sz w:val="32"/>
          <w:szCs w:val="32"/>
        </w:rPr>
        <w:t>標準化</w:t>
      </w:r>
      <w:r>
        <w:rPr>
          <w:rFonts w:hint="eastAsia"/>
          <w:sz w:val="32"/>
          <w:szCs w:val="32"/>
        </w:rPr>
        <w:lastRenderedPageBreak/>
        <w:t>合約</w:t>
      </w:r>
    </w:p>
    <w:p w14:paraId="3DFD8050" w14:textId="77777777" w:rsidR="004232BC" w:rsidRDefault="004232BC" w:rsidP="004232BC">
      <w:pPr>
        <w:pStyle w:val="a3"/>
        <w:widowControl w:val="0"/>
        <w:numPr>
          <w:ilvl w:val="0"/>
          <w:numId w:val="23"/>
        </w:numPr>
        <w:ind w:leftChars="0"/>
        <w:rPr>
          <w:sz w:val="32"/>
          <w:szCs w:val="32"/>
        </w:rPr>
      </w:pPr>
      <w:r>
        <w:rPr>
          <w:rFonts w:hint="eastAsia"/>
          <w:sz w:val="32"/>
          <w:szCs w:val="32"/>
        </w:rPr>
        <w:t>投機者相對於避險者，其對市場之影響何者不正確?</w:t>
      </w:r>
      <w:r w:rsidRPr="00A903C3">
        <w:rPr>
          <w:sz w:val="32"/>
          <w:szCs w:val="32"/>
        </w:rPr>
        <w:t xml:space="preserve"> </w:t>
      </w:r>
      <w:r>
        <w:rPr>
          <w:sz w:val="32"/>
          <w:szCs w:val="32"/>
        </w:rPr>
        <w:t>(A)</w:t>
      </w:r>
      <w:r>
        <w:rPr>
          <w:rFonts w:hint="eastAsia"/>
          <w:sz w:val="32"/>
          <w:szCs w:val="32"/>
        </w:rPr>
        <w:t>承擔風險(</w:t>
      </w:r>
      <w:r>
        <w:rPr>
          <w:sz w:val="32"/>
          <w:szCs w:val="32"/>
        </w:rPr>
        <w:t>B)</w:t>
      </w:r>
      <w:r>
        <w:rPr>
          <w:rFonts w:hint="eastAsia"/>
          <w:sz w:val="32"/>
          <w:szCs w:val="32"/>
        </w:rPr>
        <w:t>增加交易量，促進流通(</w:t>
      </w:r>
      <w:r>
        <w:rPr>
          <w:sz w:val="32"/>
          <w:szCs w:val="32"/>
        </w:rPr>
        <w:t>C)</w:t>
      </w:r>
      <w:r>
        <w:rPr>
          <w:rFonts w:hint="eastAsia"/>
          <w:sz w:val="32"/>
          <w:szCs w:val="32"/>
        </w:rPr>
        <w:t>經由套利操作，使相關市場或產品維持合理關係(</w:t>
      </w:r>
      <w:r>
        <w:rPr>
          <w:sz w:val="32"/>
          <w:szCs w:val="32"/>
        </w:rPr>
        <w:t>D)</w:t>
      </w:r>
      <w:r>
        <w:rPr>
          <w:rFonts w:hint="eastAsia"/>
          <w:sz w:val="32"/>
          <w:szCs w:val="32"/>
        </w:rPr>
        <w:t>其快速進出市場將不會造成價格的波動</w:t>
      </w:r>
    </w:p>
    <w:p w14:paraId="41305D32" w14:textId="77777777" w:rsidR="004232BC" w:rsidRDefault="004232BC" w:rsidP="004232BC">
      <w:pPr>
        <w:pStyle w:val="a3"/>
        <w:widowControl w:val="0"/>
        <w:numPr>
          <w:ilvl w:val="0"/>
          <w:numId w:val="23"/>
        </w:numPr>
        <w:ind w:leftChars="0"/>
        <w:rPr>
          <w:sz w:val="32"/>
          <w:szCs w:val="32"/>
        </w:rPr>
      </w:pPr>
      <w:r>
        <w:rPr>
          <w:rFonts w:hint="eastAsia"/>
          <w:sz w:val="32"/>
          <w:szCs w:val="32"/>
        </w:rPr>
        <w:t>期貨交易的特色為何?</w:t>
      </w:r>
      <w:r w:rsidRPr="00A903C3">
        <w:rPr>
          <w:sz w:val="32"/>
          <w:szCs w:val="32"/>
        </w:rPr>
        <w:t xml:space="preserve"> </w:t>
      </w:r>
      <w:r>
        <w:rPr>
          <w:sz w:val="32"/>
          <w:szCs w:val="32"/>
        </w:rPr>
        <w:t>(A)</w:t>
      </w:r>
      <w:r>
        <w:rPr>
          <w:rFonts w:hint="eastAsia"/>
          <w:sz w:val="32"/>
          <w:szCs w:val="32"/>
        </w:rPr>
        <w:t>集中市場交易(</w:t>
      </w:r>
      <w:r>
        <w:rPr>
          <w:sz w:val="32"/>
          <w:szCs w:val="32"/>
        </w:rPr>
        <w:t>B)</w:t>
      </w:r>
      <w:r>
        <w:rPr>
          <w:rFonts w:hint="eastAsia"/>
          <w:sz w:val="32"/>
          <w:szCs w:val="32"/>
        </w:rPr>
        <w:t>標準化契約(</w:t>
      </w:r>
      <w:r>
        <w:rPr>
          <w:sz w:val="32"/>
          <w:szCs w:val="32"/>
        </w:rPr>
        <w:t>C)</w:t>
      </w:r>
      <w:r>
        <w:rPr>
          <w:rFonts w:hint="eastAsia"/>
          <w:sz w:val="32"/>
          <w:szCs w:val="32"/>
        </w:rPr>
        <w:t>以沖銷交易了結部位(</w:t>
      </w:r>
      <w:r>
        <w:rPr>
          <w:sz w:val="32"/>
          <w:szCs w:val="32"/>
        </w:rPr>
        <w:t>D)</w:t>
      </w:r>
      <w:r>
        <w:rPr>
          <w:rFonts w:hint="eastAsia"/>
          <w:sz w:val="32"/>
          <w:szCs w:val="32"/>
        </w:rPr>
        <w:t>選項</w:t>
      </w:r>
      <w:r>
        <w:rPr>
          <w:sz w:val="32"/>
          <w:szCs w:val="32"/>
        </w:rPr>
        <w:t>ABC</w:t>
      </w:r>
      <w:r>
        <w:rPr>
          <w:rFonts w:hint="eastAsia"/>
          <w:sz w:val="32"/>
          <w:szCs w:val="32"/>
        </w:rPr>
        <w:t>皆是</w:t>
      </w:r>
    </w:p>
    <w:p w14:paraId="777422B9" w14:textId="77777777" w:rsidR="004232BC" w:rsidRPr="00664018" w:rsidRDefault="004232BC" w:rsidP="004232BC">
      <w:pPr>
        <w:pStyle w:val="a3"/>
        <w:widowControl w:val="0"/>
        <w:numPr>
          <w:ilvl w:val="0"/>
          <w:numId w:val="23"/>
        </w:numPr>
        <w:ind w:leftChars="0"/>
        <w:rPr>
          <w:sz w:val="32"/>
          <w:szCs w:val="32"/>
        </w:rPr>
      </w:pPr>
      <w:r>
        <w:rPr>
          <w:rFonts w:hint="eastAsia"/>
          <w:sz w:val="32"/>
          <w:szCs w:val="32"/>
        </w:rPr>
        <w:t>下列何者為期貨契約與遠期契約的相同點?</w:t>
      </w:r>
      <w:r w:rsidRPr="00A903C3">
        <w:rPr>
          <w:sz w:val="32"/>
          <w:szCs w:val="32"/>
        </w:rPr>
        <w:t xml:space="preserve"> </w:t>
      </w:r>
      <w:r>
        <w:rPr>
          <w:sz w:val="32"/>
          <w:szCs w:val="32"/>
        </w:rPr>
        <w:t>(A)</w:t>
      </w:r>
      <w:r>
        <w:rPr>
          <w:rFonts w:hint="eastAsia"/>
          <w:sz w:val="32"/>
          <w:szCs w:val="32"/>
        </w:rPr>
        <w:t>均可對沖交易，</w:t>
      </w:r>
      <w:r w:rsidRPr="00664018">
        <w:rPr>
          <w:rFonts w:hint="eastAsia"/>
          <w:sz w:val="32"/>
          <w:szCs w:val="32"/>
        </w:rPr>
        <w:t>標準化集中市場交易(</w:t>
      </w:r>
      <w:r w:rsidRPr="00664018">
        <w:rPr>
          <w:sz w:val="32"/>
          <w:szCs w:val="32"/>
        </w:rPr>
        <w:t>B)</w:t>
      </w:r>
      <w:r w:rsidRPr="00664018">
        <w:rPr>
          <w:rFonts w:hint="eastAsia"/>
          <w:sz w:val="32"/>
          <w:szCs w:val="32"/>
        </w:rPr>
        <w:t>均以標準化契約(</w:t>
      </w:r>
      <w:r w:rsidRPr="00664018">
        <w:rPr>
          <w:sz w:val="32"/>
          <w:szCs w:val="32"/>
        </w:rPr>
        <w:t>C)</w:t>
      </w:r>
      <w:r w:rsidRPr="00664018">
        <w:rPr>
          <w:rFonts w:hint="eastAsia"/>
          <w:sz w:val="32"/>
          <w:szCs w:val="32"/>
        </w:rPr>
        <w:t>均在集中市場交易(</w:t>
      </w:r>
      <w:r w:rsidRPr="00664018">
        <w:rPr>
          <w:sz w:val="32"/>
          <w:szCs w:val="32"/>
        </w:rPr>
        <w:t>D)</w:t>
      </w:r>
      <w:r w:rsidRPr="00664018">
        <w:rPr>
          <w:rFonts w:hint="eastAsia"/>
          <w:sz w:val="32"/>
          <w:szCs w:val="32"/>
        </w:rPr>
        <w:t>執行日期均在未來</w:t>
      </w:r>
    </w:p>
    <w:p w14:paraId="3D651210" w14:textId="77777777" w:rsidR="004232BC" w:rsidRDefault="004232BC" w:rsidP="004232BC">
      <w:pPr>
        <w:pStyle w:val="a3"/>
        <w:widowControl w:val="0"/>
        <w:numPr>
          <w:ilvl w:val="0"/>
          <w:numId w:val="23"/>
        </w:numPr>
        <w:ind w:leftChars="0"/>
        <w:rPr>
          <w:sz w:val="32"/>
          <w:szCs w:val="32"/>
        </w:rPr>
      </w:pPr>
      <w:r>
        <w:rPr>
          <w:rFonts w:hint="eastAsia"/>
          <w:sz w:val="32"/>
          <w:szCs w:val="32"/>
        </w:rPr>
        <w:t>有關遠期合約的敘述，下列何者為非?</w:t>
      </w:r>
      <w:r w:rsidRPr="00A903C3">
        <w:rPr>
          <w:sz w:val="32"/>
          <w:szCs w:val="32"/>
        </w:rPr>
        <w:t xml:space="preserve"> </w:t>
      </w:r>
      <w:r>
        <w:rPr>
          <w:sz w:val="32"/>
          <w:szCs w:val="32"/>
        </w:rPr>
        <w:t>(A)</w:t>
      </w:r>
      <w:r>
        <w:rPr>
          <w:rFonts w:hint="eastAsia"/>
          <w:sz w:val="32"/>
          <w:szCs w:val="32"/>
        </w:rPr>
        <w:t>沒有交易所(</w:t>
      </w:r>
      <w:r>
        <w:rPr>
          <w:sz w:val="32"/>
          <w:szCs w:val="32"/>
        </w:rPr>
        <w:t>B)</w:t>
      </w:r>
      <w:r>
        <w:rPr>
          <w:rFonts w:hint="eastAsia"/>
          <w:sz w:val="32"/>
          <w:szCs w:val="32"/>
        </w:rPr>
        <w:t>合約由買賣雙方訂定(</w:t>
      </w:r>
      <w:r>
        <w:rPr>
          <w:sz w:val="32"/>
          <w:szCs w:val="32"/>
        </w:rPr>
        <w:t>C)</w:t>
      </w:r>
      <w:r>
        <w:rPr>
          <w:rFonts w:hint="eastAsia"/>
          <w:sz w:val="32"/>
          <w:szCs w:val="32"/>
        </w:rPr>
        <w:t>有一定的交割日期(</w:t>
      </w:r>
      <w:r>
        <w:rPr>
          <w:sz w:val="32"/>
          <w:szCs w:val="32"/>
        </w:rPr>
        <w:t>D)</w:t>
      </w:r>
      <w:r>
        <w:rPr>
          <w:rFonts w:hint="eastAsia"/>
          <w:sz w:val="32"/>
          <w:szCs w:val="32"/>
        </w:rPr>
        <w:t>議價</w:t>
      </w:r>
    </w:p>
    <w:p w14:paraId="6972B738" w14:textId="77777777" w:rsidR="004232BC" w:rsidRPr="0085692D" w:rsidRDefault="004232BC" w:rsidP="004232BC">
      <w:pPr>
        <w:pStyle w:val="a3"/>
        <w:widowControl w:val="0"/>
        <w:numPr>
          <w:ilvl w:val="0"/>
          <w:numId w:val="23"/>
        </w:numPr>
        <w:ind w:leftChars="0"/>
        <w:rPr>
          <w:sz w:val="32"/>
          <w:szCs w:val="32"/>
        </w:rPr>
      </w:pPr>
      <w:r>
        <w:rPr>
          <w:rFonts w:hint="eastAsia"/>
          <w:sz w:val="32"/>
          <w:szCs w:val="32"/>
        </w:rPr>
        <w:t>期貨交易的違約機率遠低於遠期契約的主要原因為:</w:t>
      </w:r>
      <w:r w:rsidRPr="00A903C3">
        <w:rPr>
          <w:sz w:val="32"/>
          <w:szCs w:val="32"/>
        </w:rPr>
        <w:t xml:space="preserve"> </w:t>
      </w:r>
      <w:r>
        <w:rPr>
          <w:sz w:val="32"/>
          <w:szCs w:val="32"/>
        </w:rPr>
        <w:t>(A)</w:t>
      </w:r>
      <w:r>
        <w:rPr>
          <w:rFonts w:hint="eastAsia"/>
          <w:sz w:val="32"/>
          <w:szCs w:val="32"/>
        </w:rPr>
        <w:t>期貨契約具標準化(</w:t>
      </w:r>
      <w:r>
        <w:rPr>
          <w:sz w:val="32"/>
          <w:szCs w:val="32"/>
        </w:rPr>
        <w:t>B)</w:t>
      </w:r>
      <w:r>
        <w:rPr>
          <w:rFonts w:hint="eastAsia"/>
          <w:sz w:val="32"/>
          <w:szCs w:val="32"/>
        </w:rPr>
        <w:t>結算機構的參與(</w:t>
      </w:r>
      <w:r>
        <w:rPr>
          <w:sz w:val="32"/>
          <w:szCs w:val="32"/>
        </w:rPr>
        <w:t>C)</w:t>
      </w:r>
      <w:r>
        <w:rPr>
          <w:rFonts w:hint="eastAsia"/>
          <w:sz w:val="32"/>
          <w:szCs w:val="32"/>
        </w:rPr>
        <w:t>期貨投資人大多在到期前平倉(</w:t>
      </w:r>
      <w:r>
        <w:rPr>
          <w:sz w:val="32"/>
          <w:szCs w:val="32"/>
        </w:rPr>
        <w:t>D)</w:t>
      </w:r>
      <w:r>
        <w:rPr>
          <w:rFonts w:hint="eastAsia"/>
          <w:sz w:val="32"/>
          <w:szCs w:val="32"/>
        </w:rPr>
        <w:t xml:space="preserve">期貨的到期期間較遠期契約短 </w:t>
      </w:r>
      <w:r w:rsidRPr="0085692D">
        <w:rPr>
          <w:rFonts w:hint="eastAsia"/>
          <w:sz w:val="32"/>
          <w:szCs w:val="32"/>
        </w:rPr>
        <w:t>*</w:t>
      </w:r>
      <w:r>
        <w:rPr>
          <w:sz w:val="32"/>
          <w:szCs w:val="32"/>
        </w:rPr>
        <w:t>**</w:t>
      </w:r>
      <w:r w:rsidRPr="0085692D">
        <w:rPr>
          <w:rFonts w:ascii="Arial" w:hAnsi="Arial" w:cs="Arial"/>
          <w:b/>
          <w:bCs/>
          <w:color w:val="222222"/>
          <w:sz w:val="32"/>
          <w:szCs w:val="32"/>
          <w:shd w:val="clear" w:color="auto" w:fill="FFFFFF"/>
        </w:rPr>
        <w:t>平倉</w:t>
      </w:r>
      <w:r w:rsidRPr="0085692D">
        <w:rPr>
          <w:rFonts w:ascii="Arial" w:hAnsi="Arial" w:cs="Arial"/>
          <w:color w:val="222222"/>
          <w:sz w:val="32"/>
          <w:szCs w:val="32"/>
          <w:shd w:val="clear" w:color="auto" w:fill="FFFFFF"/>
        </w:rPr>
        <w:t>（英語：</w:t>
      </w:r>
      <w:r w:rsidRPr="0085692D">
        <w:rPr>
          <w:rFonts w:ascii="Arial" w:hAnsi="Arial" w:cs="Arial"/>
          <w:b/>
          <w:bCs/>
          <w:color w:val="222222"/>
          <w:sz w:val="32"/>
          <w:szCs w:val="32"/>
          <w:shd w:val="clear" w:color="auto" w:fill="FFFFFF"/>
          <w:lang w:val="en"/>
        </w:rPr>
        <w:t>Liquidation</w:t>
      </w:r>
      <w:r w:rsidRPr="0085692D">
        <w:rPr>
          <w:rFonts w:ascii="Arial" w:hAnsi="Arial" w:cs="Arial"/>
          <w:color w:val="222222"/>
          <w:sz w:val="32"/>
          <w:szCs w:val="32"/>
          <w:shd w:val="clear" w:color="auto" w:fill="FFFFFF"/>
        </w:rPr>
        <w:t>／</w:t>
      </w:r>
      <w:r w:rsidRPr="0085692D">
        <w:rPr>
          <w:rFonts w:ascii="Arial" w:hAnsi="Arial" w:cs="Arial"/>
          <w:b/>
          <w:bCs/>
          <w:color w:val="222222"/>
          <w:sz w:val="32"/>
          <w:szCs w:val="32"/>
          <w:shd w:val="clear" w:color="auto" w:fill="FFFFFF"/>
        </w:rPr>
        <w:t>Cover</w:t>
      </w:r>
      <w:r w:rsidRPr="0085692D">
        <w:rPr>
          <w:rFonts w:ascii="Arial" w:hAnsi="Arial" w:cs="Arial"/>
          <w:color w:val="222222"/>
          <w:sz w:val="32"/>
          <w:szCs w:val="32"/>
          <w:shd w:val="clear" w:color="auto" w:fill="FFFFFF"/>
        </w:rPr>
        <w:t>／</w:t>
      </w:r>
      <w:r w:rsidRPr="0085692D">
        <w:rPr>
          <w:rFonts w:ascii="Arial" w:hAnsi="Arial" w:cs="Arial"/>
          <w:b/>
          <w:bCs/>
          <w:color w:val="222222"/>
          <w:sz w:val="32"/>
          <w:szCs w:val="32"/>
          <w:shd w:val="clear" w:color="auto" w:fill="FFFFFF"/>
        </w:rPr>
        <w:t>Offset</w:t>
      </w:r>
      <w:r w:rsidRPr="0085692D">
        <w:rPr>
          <w:rFonts w:ascii="Arial" w:hAnsi="Arial" w:cs="Arial"/>
          <w:color w:val="222222"/>
          <w:sz w:val="32"/>
          <w:szCs w:val="32"/>
          <w:shd w:val="clear" w:color="auto" w:fill="FFFFFF"/>
        </w:rPr>
        <w:t>）指的是</w:t>
      </w:r>
      <w:hyperlink r:id="rId31" w:tooltip="證券" w:history="1">
        <w:r w:rsidRPr="0085692D">
          <w:rPr>
            <w:rStyle w:val="a4"/>
            <w:rFonts w:ascii="Arial" w:hAnsi="Arial" w:cs="Arial"/>
            <w:color w:val="0B0080"/>
            <w:sz w:val="32"/>
            <w:szCs w:val="32"/>
            <w:shd w:val="clear" w:color="auto" w:fill="FFFFFF"/>
          </w:rPr>
          <w:t>證券</w:t>
        </w:r>
      </w:hyperlink>
      <w:r w:rsidRPr="0085692D">
        <w:rPr>
          <w:rFonts w:ascii="Arial" w:hAnsi="Arial" w:cs="Arial"/>
          <w:color w:val="222222"/>
          <w:sz w:val="32"/>
          <w:szCs w:val="32"/>
          <w:shd w:val="clear" w:color="auto" w:fill="FFFFFF"/>
        </w:rPr>
        <w:t>以及</w:t>
      </w:r>
      <w:hyperlink r:id="rId32" w:tooltip="期貨" w:history="1">
        <w:r w:rsidRPr="0085692D">
          <w:rPr>
            <w:rStyle w:val="a4"/>
            <w:rFonts w:ascii="Arial" w:hAnsi="Arial" w:cs="Arial"/>
            <w:color w:val="0B0080"/>
            <w:sz w:val="32"/>
            <w:szCs w:val="32"/>
            <w:shd w:val="clear" w:color="auto" w:fill="FFFFFF"/>
          </w:rPr>
          <w:t>期貨</w:t>
        </w:r>
      </w:hyperlink>
      <w:r w:rsidRPr="0085692D">
        <w:rPr>
          <w:rFonts w:ascii="Arial" w:hAnsi="Arial" w:cs="Arial"/>
          <w:color w:val="222222"/>
          <w:sz w:val="32"/>
          <w:szCs w:val="32"/>
          <w:shd w:val="clear" w:color="auto" w:fill="FFFFFF"/>
        </w:rPr>
        <w:t>市場上，持有</w:t>
      </w:r>
      <w:hyperlink r:id="rId33" w:tooltip="空頭" w:history="1">
        <w:r w:rsidRPr="0085692D">
          <w:rPr>
            <w:rStyle w:val="a4"/>
            <w:rFonts w:ascii="Arial" w:hAnsi="Arial" w:cs="Arial"/>
            <w:color w:val="0B0080"/>
            <w:sz w:val="32"/>
            <w:szCs w:val="32"/>
            <w:shd w:val="clear" w:color="auto" w:fill="FFFFFF"/>
          </w:rPr>
          <w:t>空頭</w:t>
        </w:r>
      </w:hyperlink>
      <w:hyperlink r:id="rId34" w:tooltip="部位 (期貨)" w:history="1">
        <w:r w:rsidRPr="0085692D">
          <w:rPr>
            <w:rStyle w:val="a4"/>
            <w:rFonts w:ascii="Arial" w:hAnsi="Arial" w:cs="Arial"/>
            <w:color w:val="0B0080"/>
            <w:sz w:val="32"/>
            <w:szCs w:val="32"/>
            <w:shd w:val="clear" w:color="auto" w:fill="FFFFFF"/>
          </w:rPr>
          <w:t>部位</w:t>
        </w:r>
      </w:hyperlink>
      <w:r w:rsidRPr="0085692D">
        <w:rPr>
          <w:rFonts w:ascii="Arial" w:hAnsi="Arial" w:cs="Arial"/>
          <w:color w:val="222222"/>
          <w:sz w:val="32"/>
          <w:szCs w:val="32"/>
          <w:shd w:val="clear" w:color="auto" w:fill="FFFFFF"/>
        </w:rPr>
        <w:t>的</w:t>
      </w:r>
      <w:hyperlink r:id="rId35" w:tooltip="投資人" w:history="1">
        <w:r w:rsidRPr="0085692D">
          <w:rPr>
            <w:rStyle w:val="a4"/>
            <w:rFonts w:ascii="Arial" w:hAnsi="Arial" w:cs="Arial"/>
            <w:color w:val="0B0080"/>
            <w:sz w:val="32"/>
            <w:szCs w:val="32"/>
            <w:shd w:val="clear" w:color="auto" w:fill="FFFFFF"/>
          </w:rPr>
          <w:t>投資人</w:t>
        </w:r>
      </w:hyperlink>
      <w:r w:rsidRPr="0085692D">
        <w:rPr>
          <w:rFonts w:ascii="Arial" w:hAnsi="Arial" w:cs="Arial"/>
          <w:color w:val="222222"/>
          <w:sz w:val="32"/>
          <w:szCs w:val="32"/>
          <w:shd w:val="clear" w:color="auto" w:fill="FFFFFF"/>
        </w:rPr>
        <w:t>，藉由買進等量的</w:t>
      </w:r>
      <w:hyperlink r:id="rId36" w:tooltip="契約" w:history="1">
        <w:r w:rsidRPr="0085692D">
          <w:rPr>
            <w:rStyle w:val="a4"/>
            <w:rFonts w:ascii="Arial" w:hAnsi="Arial" w:cs="Arial"/>
            <w:color w:val="0B0080"/>
            <w:sz w:val="32"/>
            <w:szCs w:val="32"/>
            <w:shd w:val="clear" w:color="auto" w:fill="FFFFFF"/>
          </w:rPr>
          <w:t>契約</w:t>
        </w:r>
      </w:hyperlink>
      <w:r w:rsidRPr="0085692D">
        <w:rPr>
          <w:rFonts w:ascii="Arial" w:hAnsi="Arial" w:cs="Arial"/>
          <w:color w:val="222222"/>
          <w:sz w:val="32"/>
          <w:szCs w:val="32"/>
          <w:shd w:val="clear" w:color="auto" w:fill="FFFFFF"/>
        </w:rPr>
        <w:t>以離開市場；或是持有</w:t>
      </w:r>
      <w:hyperlink r:id="rId37" w:tooltip="多頭" w:history="1">
        <w:r w:rsidRPr="0085692D">
          <w:rPr>
            <w:rStyle w:val="a4"/>
            <w:rFonts w:ascii="Arial" w:hAnsi="Arial" w:cs="Arial"/>
            <w:color w:val="0B0080"/>
            <w:sz w:val="32"/>
            <w:szCs w:val="32"/>
            <w:shd w:val="clear" w:color="auto" w:fill="FFFFFF"/>
          </w:rPr>
          <w:t>多頭</w:t>
        </w:r>
      </w:hyperlink>
      <w:hyperlink r:id="rId38" w:tooltip="部位 (期貨)" w:history="1">
        <w:r w:rsidRPr="0085692D">
          <w:rPr>
            <w:rStyle w:val="a4"/>
            <w:rFonts w:ascii="Arial" w:hAnsi="Arial" w:cs="Arial"/>
            <w:color w:val="0B0080"/>
            <w:sz w:val="32"/>
            <w:szCs w:val="32"/>
            <w:shd w:val="clear" w:color="auto" w:fill="FFFFFF"/>
          </w:rPr>
          <w:t>部位</w:t>
        </w:r>
      </w:hyperlink>
      <w:r w:rsidRPr="0085692D">
        <w:rPr>
          <w:rFonts w:ascii="Arial" w:hAnsi="Arial" w:cs="Arial"/>
          <w:color w:val="222222"/>
          <w:sz w:val="32"/>
          <w:szCs w:val="32"/>
          <w:shd w:val="clear" w:color="auto" w:fill="FFFFFF"/>
        </w:rPr>
        <w:t>的投資人，藉由賣出等量的契約以離開市場。即</w:t>
      </w:r>
      <w:r w:rsidRPr="0085692D">
        <w:rPr>
          <w:rFonts w:ascii="Arial" w:hAnsi="Arial" w:cs="Arial"/>
          <w:b/>
          <w:bCs/>
          <w:color w:val="222222"/>
          <w:sz w:val="32"/>
          <w:szCs w:val="32"/>
          <w:shd w:val="clear" w:color="auto" w:fill="FFFFFF"/>
        </w:rPr>
        <w:t>以等量但相反買賣方向，來沖銷</w:t>
      </w:r>
      <w:r w:rsidRPr="0085692D">
        <w:rPr>
          <w:rFonts w:ascii="Arial" w:hAnsi="Arial" w:cs="Arial"/>
          <w:b/>
          <w:bCs/>
          <w:color w:val="222222"/>
          <w:sz w:val="32"/>
          <w:szCs w:val="32"/>
          <w:shd w:val="clear" w:color="auto" w:fill="FFFFFF"/>
        </w:rPr>
        <w:lastRenderedPageBreak/>
        <w:t>原有的契約</w:t>
      </w:r>
      <w:r w:rsidRPr="0085692D">
        <w:rPr>
          <w:rFonts w:ascii="Arial" w:hAnsi="Arial" w:cs="Arial"/>
          <w:color w:val="222222"/>
          <w:sz w:val="32"/>
          <w:szCs w:val="32"/>
          <w:shd w:val="clear" w:color="auto" w:fill="FFFFFF"/>
        </w:rPr>
        <w:t>。</w:t>
      </w:r>
    </w:p>
    <w:p w14:paraId="70EBBD27" w14:textId="77777777" w:rsidR="004232BC" w:rsidRDefault="004232BC" w:rsidP="004232BC">
      <w:pPr>
        <w:pStyle w:val="a3"/>
        <w:widowControl w:val="0"/>
        <w:numPr>
          <w:ilvl w:val="0"/>
          <w:numId w:val="23"/>
        </w:numPr>
        <w:ind w:leftChars="0"/>
        <w:rPr>
          <w:sz w:val="32"/>
          <w:szCs w:val="32"/>
        </w:rPr>
      </w:pPr>
      <w:r>
        <w:rPr>
          <w:rFonts w:ascii="Arial" w:hAnsi="Arial" w:cs="Arial" w:hint="eastAsia"/>
          <w:color w:val="222222"/>
          <w:sz w:val="32"/>
          <w:szCs w:val="32"/>
          <w:shd w:val="clear" w:color="auto" w:fill="FFFFFF"/>
        </w:rPr>
        <w:t>下列敘述何者為非</w:t>
      </w:r>
      <w:r>
        <w:rPr>
          <w:rFonts w:ascii="Arial" w:hAnsi="Arial" w:cs="Arial" w:hint="eastAsia"/>
          <w:color w:val="222222"/>
          <w:sz w:val="32"/>
          <w:szCs w:val="32"/>
          <w:shd w:val="clear" w:color="auto" w:fill="FFFFFF"/>
        </w:rPr>
        <w:t>?</w:t>
      </w:r>
      <w:r w:rsidRPr="0085692D">
        <w:rPr>
          <w:sz w:val="32"/>
          <w:szCs w:val="32"/>
        </w:rPr>
        <w:t xml:space="preserve"> </w:t>
      </w:r>
      <w:r>
        <w:rPr>
          <w:sz w:val="32"/>
          <w:szCs w:val="32"/>
        </w:rPr>
        <w:t>(A)</w:t>
      </w:r>
      <w:r>
        <w:rPr>
          <w:rFonts w:hint="eastAsia"/>
          <w:sz w:val="32"/>
          <w:szCs w:val="32"/>
        </w:rPr>
        <w:t>期貨市場主要功能在規避風險，股票市場主要功能在投機(</w:t>
      </w:r>
      <w:r>
        <w:rPr>
          <w:sz w:val="32"/>
          <w:szCs w:val="32"/>
        </w:rPr>
        <w:t>B)</w:t>
      </w:r>
      <w:r>
        <w:rPr>
          <w:rFonts w:hint="eastAsia"/>
          <w:sz w:val="32"/>
          <w:szCs w:val="32"/>
        </w:rPr>
        <w:t>期貨交易財務槓桿較高，股票市場信用交易槓桿較低(</w:t>
      </w:r>
      <w:r>
        <w:rPr>
          <w:sz w:val="32"/>
          <w:szCs w:val="32"/>
        </w:rPr>
        <w:t>C)</w:t>
      </w:r>
      <w:r>
        <w:rPr>
          <w:rFonts w:hint="eastAsia"/>
          <w:sz w:val="32"/>
          <w:szCs w:val="32"/>
        </w:rPr>
        <w:t>期貨契約有固定期限，持有股票則可無限延續(</w:t>
      </w:r>
      <w:r>
        <w:rPr>
          <w:sz w:val="32"/>
          <w:szCs w:val="32"/>
        </w:rPr>
        <w:t>D)</w:t>
      </w:r>
      <w:r>
        <w:rPr>
          <w:rFonts w:hint="eastAsia"/>
          <w:sz w:val="32"/>
          <w:szCs w:val="32"/>
        </w:rPr>
        <w:t>期貨契約買賣大多數在交割前平倉，股票買賣為實際交割</w:t>
      </w:r>
    </w:p>
    <w:p w14:paraId="1EC46AE5" w14:textId="77777777" w:rsidR="004232BC" w:rsidRDefault="004232BC" w:rsidP="004232BC">
      <w:pPr>
        <w:pStyle w:val="a3"/>
        <w:widowControl w:val="0"/>
        <w:numPr>
          <w:ilvl w:val="0"/>
          <w:numId w:val="23"/>
        </w:numPr>
        <w:ind w:leftChars="0"/>
        <w:rPr>
          <w:sz w:val="32"/>
          <w:szCs w:val="32"/>
        </w:rPr>
      </w:pPr>
      <w:r>
        <w:rPr>
          <w:rFonts w:ascii="Arial" w:hAnsi="Arial" w:cs="Arial" w:hint="eastAsia"/>
          <w:color w:val="222222"/>
          <w:sz w:val="32"/>
          <w:szCs w:val="32"/>
          <w:shd w:val="clear" w:color="auto" w:fill="FFFFFF"/>
        </w:rPr>
        <w:t>下列何者為［期貨交易］與［遠期交易］相同點</w:t>
      </w:r>
      <w:r>
        <w:rPr>
          <w:rFonts w:ascii="Arial" w:hAnsi="Arial" w:cs="Arial" w:hint="eastAsia"/>
          <w:color w:val="222222"/>
          <w:sz w:val="32"/>
          <w:szCs w:val="32"/>
          <w:shd w:val="clear" w:color="auto" w:fill="FFFFFF"/>
        </w:rPr>
        <w:t>?</w:t>
      </w:r>
      <w:r w:rsidRPr="0085256E">
        <w:rPr>
          <w:sz w:val="32"/>
          <w:szCs w:val="32"/>
        </w:rPr>
        <w:t xml:space="preserve"> </w:t>
      </w:r>
      <w:r>
        <w:rPr>
          <w:sz w:val="32"/>
          <w:szCs w:val="32"/>
        </w:rPr>
        <w:t>(A)</w:t>
      </w:r>
      <w:r>
        <w:rPr>
          <w:rFonts w:hint="eastAsia"/>
          <w:sz w:val="32"/>
          <w:szCs w:val="32"/>
        </w:rPr>
        <w:t>均可對沖交易(</w:t>
      </w:r>
      <w:r>
        <w:rPr>
          <w:sz w:val="32"/>
          <w:szCs w:val="32"/>
        </w:rPr>
        <w:t>B)</w:t>
      </w:r>
      <w:r>
        <w:rPr>
          <w:rFonts w:hint="eastAsia"/>
          <w:sz w:val="32"/>
          <w:szCs w:val="32"/>
        </w:rPr>
        <w:t>集中市場交易(</w:t>
      </w:r>
      <w:r>
        <w:rPr>
          <w:sz w:val="32"/>
          <w:szCs w:val="32"/>
        </w:rPr>
        <w:t>C)</w:t>
      </w:r>
      <w:r>
        <w:rPr>
          <w:rFonts w:hint="eastAsia"/>
          <w:sz w:val="32"/>
          <w:szCs w:val="32"/>
        </w:rPr>
        <w:t>契約標準化(</w:t>
      </w:r>
      <w:r>
        <w:rPr>
          <w:sz w:val="32"/>
          <w:szCs w:val="32"/>
        </w:rPr>
        <w:t>D)</w:t>
      </w:r>
      <w:r>
        <w:rPr>
          <w:rFonts w:hint="eastAsia"/>
          <w:sz w:val="32"/>
          <w:szCs w:val="32"/>
        </w:rPr>
        <w:t>執行契約內容的日期都在未來</w:t>
      </w:r>
    </w:p>
    <w:p w14:paraId="7045920E" w14:textId="77777777" w:rsidR="004232BC" w:rsidRDefault="004232BC" w:rsidP="004232BC">
      <w:pPr>
        <w:pStyle w:val="a3"/>
        <w:widowControl w:val="0"/>
        <w:numPr>
          <w:ilvl w:val="0"/>
          <w:numId w:val="23"/>
        </w:numPr>
        <w:ind w:leftChars="0"/>
        <w:rPr>
          <w:sz w:val="32"/>
          <w:szCs w:val="32"/>
        </w:rPr>
      </w:pPr>
      <w:r>
        <w:rPr>
          <w:rFonts w:hint="eastAsia"/>
          <w:sz w:val="32"/>
          <w:szCs w:val="32"/>
        </w:rPr>
        <w:t>期貨交易保證金，其性質類似於?</w:t>
      </w:r>
      <w:r>
        <w:rPr>
          <w:sz w:val="32"/>
          <w:szCs w:val="32"/>
        </w:rPr>
        <w:t>(A)</w:t>
      </w:r>
      <w:r>
        <w:rPr>
          <w:rFonts w:hint="eastAsia"/>
          <w:sz w:val="32"/>
          <w:szCs w:val="32"/>
        </w:rPr>
        <w:t>交易保證(</w:t>
      </w:r>
      <w:r>
        <w:rPr>
          <w:sz w:val="32"/>
          <w:szCs w:val="32"/>
        </w:rPr>
        <w:t>B)</w:t>
      </w:r>
      <w:r>
        <w:rPr>
          <w:rFonts w:hint="eastAsia"/>
          <w:sz w:val="32"/>
          <w:szCs w:val="32"/>
        </w:rPr>
        <w:t>履約保證(</w:t>
      </w:r>
      <w:r>
        <w:rPr>
          <w:sz w:val="32"/>
          <w:szCs w:val="32"/>
        </w:rPr>
        <w:t>C)</w:t>
      </w:r>
      <w:r>
        <w:rPr>
          <w:rFonts w:hint="eastAsia"/>
          <w:sz w:val="32"/>
          <w:szCs w:val="32"/>
        </w:rPr>
        <w:t>交割保證(</w:t>
      </w:r>
      <w:r>
        <w:rPr>
          <w:sz w:val="32"/>
          <w:szCs w:val="32"/>
        </w:rPr>
        <w:t>D)</w:t>
      </w:r>
      <w:r>
        <w:rPr>
          <w:rFonts w:hint="eastAsia"/>
          <w:sz w:val="32"/>
          <w:szCs w:val="32"/>
        </w:rPr>
        <w:t>結算保證金</w:t>
      </w:r>
    </w:p>
    <w:p w14:paraId="38010C23" w14:textId="77777777" w:rsidR="004232BC" w:rsidRDefault="004232BC" w:rsidP="004232BC">
      <w:pPr>
        <w:pStyle w:val="a3"/>
        <w:widowControl w:val="0"/>
        <w:numPr>
          <w:ilvl w:val="0"/>
          <w:numId w:val="23"/>
        </w:numPr>
        <w:ind w:leftChars="0"/>
        <w:rPr>
          <w:sz w:val="32"/>
          <w:szCs w:val="32"/>
        </w:rPr>
      </w:pPr>
      <w:r>
        <w:rPr>
          <w:rFonts w:hint="eastAsia"/>
          <w:sz w:val="32"/>
          <w:szCs w:val="32"/>
        </w:rPr>
        <w:t>參與期貨交易無須擔憂何種風險?</w:t>
      </w:r>
      <w:r w:rsidRPr="0085256E">
        <w:rPr>
          <w:sz w:val="32"/>
          <w:szCs w:val="32"/>
        </w:rPr>
        <w:t xml:space="preserve"> </w:t>
      </w:r>
      <w:r>
        <w:rPr>
          <w:sz w:val="32"/>
          <w:szCs w:val="32"/>
        </w:rPr>
        <w:t>(A)</w:t>
      </w:r>
      <w:r>
        <w:rPr>
          <w:rFonts w:hint="eastAsia"/>
          <w:sz w:val="32"/>
          <w:szCs w:val="32"/>
        </w:rPr>
        <w:t>交易所信用風險(</w:t>
      </w:r>
      <w:r>
        <w:rPr>
          <w:sz w:val="32"/>
          <w:szCs w:val="32"/>
        </w:rPr>
        <w:t>B)</w:t>
      </w:r>
      <w:r>
        <w:rPr>
          <w:rFonts w:hint="eastAsia"/>
          <w:sz w:val="32"/>
          <w:szCs w:val="32"/>
        </w:rPr>
        <w:t>國家風險(</w:t>
      </w:r>
      <w:r>
        <w:rPr>
          <w:sz w:val="32"/>
          <w:szCs w:val="32"/>
        </w:rPr>
        <w:t>C)</w:t>
      </w:r>
      <w:r>
        <w:rPr>
          <w:rFonts w:hint="eastAsia"/>
          <w:sz w:val="32"/>
          <w:szCs w:val="32"/>
        </w:rPr>
        <w:t>交易對手信用風險(</w:t>
      </w:r>
      <w:r>
        <w:rPr>
          <w:sz w:val="32"/>
          <w:szCs w:val="32"/>
        </w:rPr>
        <w:t>D)</w:t>
      </w:r>
      <w:r>
        <w:rPr>
          <w:rFonts w:hint="eastAsia"/>
          <w:sz w:val="32"/>
          <w:szCs w:val="32"/>
        </w:rPr>
        <w:t>價格風險</w:t>
      </w:r>
    </w:p>
    <w:p w14:paraId="1B3B67AB" w14:textId="77777777" w:rsidR="004232BC" w:rsidRDefault="004232BC" w:rsidP="004232BC">
      <w:pPr>
        <w:pStyle w:val="a3"/>
        <w:widowControl w:val="0"/>
        <w:numPr>
          <w:ilvl w:val="0"/>
          <w:numId w:val="23"/>
        </w:numPr>
        <w:ind w:leftChars="0"/>
        <w:rPr>
          <w:sz w:val="32"/>
          <w:szCs w:val="32"/>
        </w:rPr>
      </w:pPr>
      <w:r>
        <w:rPr>
          <w:rFonts w:hint="eastAsia"/>
          <w:sz w:val="32"/>
          <w:szCs w:val="32"/>
        </w:rPr>
        <w:t>下列何者非為期貨契約標準化要素</w:t>
      </w:r>
      <w:r>
        <w:rPr>
          <w:sz w:val="32"/>
          <w:szCs w:val="32"/>
        </w:rPr>
        <w:t>(A)</w:t>
      </w:r>
      <w:r>
        <w:rPr>
          <w:rFonts w:hint="eastAsia"/>
          <w:sz w:val="32"/>
          <w:szCs w:val="32"/>
        </w:rPr>
        <w:t>商品之定義(品質等級)(</w:t>
      </w:r>
      <w:r>
        <w:rPr>
          <w:sz w:val="32"/>
          <w:szCs w:val="32"/>
        </w:rPr>
        <w:t>B)</w:t>
      </w:r>
      <w:r>
        <w:rPr>
          <w:rFonts w:hint="eastAsia"/>
          <w:sz w:val="32"/>
          <w:szCs w:val="32"/>
        </w:rPr>
        <w:t>契約數量之大小(</w:t>
      </w:r>
      <w:r>
        <w:rPr>
          <w:sz w:val="32"/>
          <w:szCs w:val="32"/>
        </w:rPr>
        <w:t>C)</w:t>
      </w:r>
      <w:r>
        <w:rPr>
          <w:rFonts w:hint="eastAsia"/>
          <w:sz w:val="32"/>
          <w:szCs w:val="32"/>
        </w:rPr>
        <w:t>保證金之大小(</w:t>
      </w:r>
      <w:r>
        <w:rPr>
          <w:sz w:val="32"/>
          <w:szCs w:val="32"/>
        </w:rPr>
        <w:t>D)</w:t>
      </w:r>
      <w:r>
        <w:rPr>
          <w:rFonts w:hint="eastAsia"/>
          <w:sz w:val="32"/>
          <w:szCs w:val="32"/>
        </w:rPr>
        <w:t>結算交割方式</w:t>
      </w:r>
    </w:p>
    <w:p w14:paraId="5104D380" w14:textId="77777777" w:rsidR="004232BC" w:rsidRDefault="004232BC" w:rsidP="004232BC">
      <w:pPr>
        <w:pStyle w:val="a3"/>
        <w:widowControl w:val="0"/>
        <w:numPr>
          <w:ilvl w:val="0"/>
          <w:numId w:val="23"/>
        </w:numPr>
        <w:ind w:leftChars="0"/>
        <w:rPr>
          <w:sz w:val="32"/>
          <w:szCs w:val="32"/>
        </w:rPr>
      </w:pPr>
      <w:r>
        <w:rPr>
          <w:rFonts w:hint="eastAsia"/>
          <w:sz w:val="32"/>
          <w:szCs w:val="32"/>
        </w:rPr>
        <w:t>下列何者不屬於期貨市場之功能</w:t>
      </w:r>
      <w:r>
        <w:rPr>
          <w:sz w:val="32"/>
          <w:szCs w:val="32"/>
        </w:rPr>
        <w:t>(A)</w:t>
      </w:r>
      <w:r>
        <w:rPr>
          <w:rFonts w:hint="eastAsia"/>
          <w:sz w:val="32"/>
          <w:szCs w:val="32"/>
        </w:rPr>
        <w:t>募集資金(</w:t>
      </w:r>
      <w:r>
        <w:rPr>
          <w:sz w:val="32"/>
          <w:szCs w:val="32"/>
        </w:rPr>
        <w:t>B)</w:t>
      </w:r>
      <w:r>
        <w:rPr>
          <w:rFonts w:hint="eastAsia"/>
          <w:sz w:val="32"/>
          <w:szCs w:val="32"/>
        </w:rPr>
        <w:t>促進市場流通性(</w:t>
      </w:r>
      <w:r>
        <w:rPr>
          <w:sz w:val="32"/>
          <w:szCs w:val="32"/>
        </w:rPr>
        <w:t>C)</w:t>
      </w:r>
      <w:r>
        <w:rPr>
          <w:rFonts w:hint="eastAsia"/>
          <w:sz w:val="32"/>
          <w:szCs w:val="32"/>
        </w:rPr>
        <w:t>避險(</w:t>
      </w:r>
      <w:r>
        <w:rPr>
          <w:sz w:val="32"/>
          <w:szCs w:val="32"/>
        </w:rPr>
        <w:t>D)</w:t>
      </w:r>
      <w:r>
        <w:rPr>
          <w:rFonts w:hint="eastAsia"/>
          <w:sz w:val="32"/>
          <w:szCs w:val="32"/>
        </w:rPr>
        <w:t>價格發現</w:t>
      </w:r>
    </w:p>
    <w:p w14:paraId="4132C12C" w14:textId="77777777" w:rsidR="004232BC" w:rsidRDefault="004232BC" w:rsidP="004232BC">
      <w:pPr>
        <w:pStyle w:val="a3"/>
        <w:widowControl w:val="0"/>
        <w:numPr>
          <w:ilvl w:val="0"/>
          <w:numId w:val="23"/>
        </w:numPr>
        <w:ind w:leftChars="0"/>
        <w:rPr>
          <w:sz w:val="32"/>
          <w:szCs w:val="32"/>
        </w:rPr>
      </w:pPr>
      <w:r>
        <w:rPr>
          <w:rFonts w:hint="eastAsia"/>
          <w:sz w:val="32"/>
          <w:szCs w:val="32"/>
        </w:rPr>
        <w:t>買賣交易雙方在契約成立後，有應買、應賣的權利與義</w:t>
      </w:r>
      <w:r>
        <w:rPr>
          <w:rFonts w:hint="eastAsia"/>
          <w:sz w:val="32"/>
          <w:szCs w:val="32"/>
        </w:rPr>
        <w:lastRenderedPageBreak/>
        <w:t>務，但是下列何種契約在交易上具有［風險與報酬不對稱］的特性</w:t>
      </w:r>
      <w:r>
        <w:rPr>
          <w:sz w:val="32"/>
          <w:szCs w:val="32"/>
        </w:rPr>
        <w:t>(A)遠期契</w:t>
      </w:r>
      <w:r>
        <w:rPr>
          <w:rFonts w:hint="eastAsia"/>
          <w:sz w:val="32"/>
          <w:szCs w:val="32"/>
        </w:rPr>
        <w:t>約(</w:t>
      </w:r>
      <w:r>
        <w:rPr>
          <w:sz w:val="32"/>
          <w:szCs w:val="32"/>
        </w:rPr>
        <w:t>B)期貨契約</w:t>
      </w:r>
      <w:r>
        <w:rPr>
          <w:rFonts w:hint="eastAsia"/>
          <w:sz w:val="32"/>
          <w:szCs w:val="32"/>
        </w:rPr>
        <w:t>(</w:t>
      </w:r>
      <w:r>
        <w:rPr>
          <w:sz w:val="32"/>
          <w:szCs w:val="32"/>
        </w:rPr>
        <w:t>C)選擇權契約(D)交換契約</w:t>
      </w:r>
    </w:p>
    <w:p w14:paraId="53298F7F" w14:textId="77777777" w:rsidR="004232BC" w:rsidRDefault="004232BC" w:rsidP="004232BC">
      <w:pPr>
        <w:pStyle w:val="a3"/>
        <w:widowControl w:val="0"/>
        <w:numPr>
          <w:ilvl w:val="0"/>
          <w:numId w:val="23"/>
        </w:numPr>
        <w:ind w:leftChars="0"/>
        <w:rPr>
          <w:sz w:val="32"/>
          <w:szCs w:val="32"/>
        </w:rPr>
      </w:pPr>
      <w:r>
        <w:rPr>
          <w:sz w:val="32"/>
          <w:szCs w:val="32"/>
        </w:rPr>
        <w:t>金融交換早期是由下列何者金融商品所衍生出來?(A)平行貸款和銀行間拆款(B)銀行間拆款和附債券買回(C)債券附買回和相互擔保貸款(D)相互擔保貸款和平行貸款</w:t>
      </w:r>
    </w:p>
    <w:p w14:paraId="7C72E528" w14:textId="77777777" w:rsidR="004232BC" w:rsidRDefault="004232BC" w:rsidP="004232BC">
      <w:pPr>
        <w:pStyle w:val="a3"/>
        <w:widowControl w:val="0"/>
        <w:numPr>
          <w:ilvl w:val="0"/>
          <w:numId w:val="23"/>
        </w:numPr>
        <w:ind w:leftChars="0"/>
        <w:rPr>
          <w:sz w:val="32"/>
          <w:szCs w:val="32"/>
        </w:rPr>
      </w:pPr>
      <w:r>
        <w:rPr>
          <w:sz w:val="32"/>
          <w:szCs w:val="32"/>
        </w:rPr>
        <w:t>我國證券主管機關為了管理上的方便，將主要的衍生性金融商品做了數種分類，但其中不包括下列何者?(A)公債保證金交易(B)外幣保證金交易(C)交換契約(D)ETF</w:t>
      </w:r>
    </w:p>
    <w:p w14:paraId="5ECE308E" w14:textId="77777777" w:rsidR="004232BC" w:rsidRDefault="004232BC" w:rsidP="004232BC">
      <w:pPr>
        <w:pStyle w:val="a3"/>
        <w:widowControl w:val="0"/>
        <w:numPr>
          <w:ilvl w:val="0"/>
          <w:numId w:val="23"/>
        </w:numPr>
        <w:ind w:leftChars="0"/>
        <w:rPr>
          <w:sz w:val="32"/>
          <w:szCs w:val="32"/>
        </w:rPr>
      </w:pPr>
      <w:r>
        <w:rPr>
          <w:sz w:val="32"/>
          <w:szCs w:val="32"/>
        </w:rPr>
        <w:t>下列何者不是投機交易於衍生性金融商品市場的主要優勢?(A)增加交易量和促進市場流動性(B)放空較為容易，擴大獲利操作方式(C)降低價格波動，具有價格發現功能(D)較成本較低</w:t>
      </w:r>
    </w:p>
    <w:p w14:paraId="2729AFB3" w14:textId="77777777" w:rsidR="004232BC" w:rsidRDefault="004232BC" w:rsidP="004232BC">
      <w:pPr>
        <w:pStyle w:val="a3"/>
        <w:widowControl w:val="0"/>
        <w:numPr>
          <w:ilvl w:val="0"/>
          <w:numId w:val="23"/>
        </w:numPr>
        <w:ind w:leftChars="0"/>
        <w:rPr>
          <w:sz w:val="32"/>
          <w:szCs w:val="32"/>
        </w:rPr>
      </w:pPr>
      <w:r>
        <w:rPr>
          <w:sz w:val="32"/>
          <w:szCs w:val="32"/>
        </w:rPr>
        <w:t>下列何者非為金融期貨與遠期契約的主要差異性?(A)交易場所(B)交易標的(C)信用風險的承擔方式(D)交割方式</w:t>
      </w:r>
    </w:p>
    <w:p w14:paraId="05462007" w14:textId="77777777" w:rsidR="004232BC" w:rsidRDefault="004232BC" w:rsidP="004232BC">
      <w:pPr>
        <w:pStyle w:val="a3"/>
        <w:widowControl w:val="0"/>
        <w:numPr>
          <w:ilvl w:val="0"/>
          <w:numId w:val="23"/>
        </w:numPr>
        <w:ind w:leftChars="0"/>
        <w:rPr>
          <w:sz w:val="32"/>
          <w:szCs w:val="32"/>
        </w:rPr>
      </w:pPr>
      <w:r>
        <w:rPr>
          <w:sz w:val="32"/>
          <w:szCs w:val="32"/>
        </w:rPr>
        <w:t>下列結構型商品連動標的，何者屬於總體經濟指標(A)個股價格(B)商品價格(C)利率水準(D)違約事件之發生</w:t>
      </w:r>
    </w:p>
    <w:p w14:paraId="6E475048" w14:textId="77777777" w:rsidR="004232BC" w:rsidRDefault="004232BC" w:rsidP="004232BC">
      <w:pPr>
        <w:pStyle w:val="a3"/>
        <w:widowControl w:val="0"/>
        <w:numPr>
          <w:ilvl w:val="0"/>
          <w:numId w:val="23"/>
        </w:numPr>
        <w:ind w:leftChars="0"/>
        <w:rPr>
          <w:sz w:val="32"/>
          <w:szCs w:val="32"/>
        </w:rPr>
      </w:pPr>
      <w:r>
        <w:rPr>
          <w:sz w:val="32"/>
          <w:szCs w:val="32"/>
        </w:rPr>
        <w:t>期貨契約交易有其專門的術語，其中</w:t>
      </w:r>
      <w:r>
        <w:rPr>
          <w:rFonts w:hint="eastAsia"/>
          <w:sz w:val="32"/>
          <w:szCs w:val="32"/>
        </w:rPr>
        <w:t>C</w:t>
      </w:r>
      <w:r>
        <w:rPr>
          <w:sz w:val="32"/>
          <w:szCs w:val="32"/>
        </w:rPr>
        <w:t>ontract Month指的是下列何者?(A)訂約月份(B)下單月份(C)交割月份(D)獲利</w:t>
      </w:r>
      <w:r>
        <w:rPr>
          <w:sz w:val="32"/>
          <w:szCs w:val="32"/>
        </w:rPr>
        <w:lastRenderedPageBreak/>
        <w:t>月份</w:t>
      </w:r>
    </w:p>
    <w:p w14:paraId="40DFCCA6" w14:textId="77777777" w:rsidR="004232BC" w:rsidRDefault="004232BC" w:rsidP="004232BC">
      <w:pPr>
        <w:pStyle w:val="a3"/>
        <w:widowControl w:val="0"/>
        <w:numPr>
          <w:ilvl w:val="0"/>
          <w:numId w:val="23"/>
        </w:numPr>
        <w:ind w:leftChars="0"/>
        <w:rPr>
          <w:sz w:val="32"/>
          <w:szCs w:val="32"/>
        </w:rPr>
      </w:pPr>
      <w:r>
        <w:rPr>
          <w:sz w:val="32"/>
          <w:szCs w:val="32"/>
        </w:rPr>
        <w:t>結算前風險屬於何種風險?(A)市場風險(B)信用風險(C)流動性風險(D)作業風險</w:t>
      </w:r>
    </w:p>
    <w:p w14:paraId="64BAC4C2" w14:textId="77777777" w:rsidR="004232BC" w:rsidRDefault="004232BC" w:rsidP="004232BC">
      <w:pPr>
        <w:pStyle w:val="a3"/>
        <w:widowControl w:val="0"/>
        <w:numPr>
          <w:ilvl w:val="0"/>
          <w:numId w:val="23"/>
        </w:numPr>
        <w:ind w:leftChars="0"/>
        <w:rPr>
          <w:sz w:val="32"/>
          <w:szCs w:val="32"/>
        </w:rPr>
      </w:pPr>
      <w:r>
        <w:rPr>
          <w:sz w:val="32"/>
          <w:szCs w:val="32"/>
        </w:rPr>
        <w:t>下列何者</w:t>
      </w:r>
      <w:r>
        <w:rPr>
          <w:rFonts w:hint="eastAsia"/>
          <w:sz w:val="32"/>
          <w:szCs w:val="32"/>
        </w:rPr>
        <w:t>不屬於信用風險?</w:t>
      </w:r>
      <w:r>
        <w:rPr>
          <w:sz w:val="32"/>
          <w:szCs w:val="32"/>
        </w:rPr>
        <w:t>(A)央行升息導致購買的公司債價格下跌(B)因為交易對手違約而導致的損失(C)購買的公司債信用評等惡化(D)購買的公司債無法到期還本</w:t>
      </w:r>
    </w:p>
    <w:p w14:paraId="6C1B391D" w14:textId="77777777" w:rsidR="004232BC" w:rsidRDefault="004232BC" w:rsidP="004232BC">
      <w:pPr>
        <w:pStyle w:val="a3"/>
        <w:widowControl w:val="0"/>
        <w:numPr>
          <w:ilvl w:val="0"/>
          <w:numId w:val="23"/>
        </w:numPr>
        <w:ind w:leftChars="0"/>
        <w:rPr>
          <w:sz w:val="32"/>
          <w:szCs w:val="32"/>
        </w:rPr>
      </w:pPr>
      <w:r>
        <w:rPr>
          <w:sz w:val="32"/>
          <w:szCs w:val="32"/>
        </w:rPr>
        <w:t>衍生性商品的風險控制可分為質化與量化兩方面，下列何者不屬於質化的控制(A)交易對手的選擇(B)內部作業品質(C)缺口限額(D)產品標的選擇</w:t>
      </w:r>
    </w:p>
    <w:p w14:paraId="6B6B0A4A" w14:textId="77777777" w:rsidR="004232BC" w:rsidRDefault="004232BC" w:rsidP="004232BC">
      <w:pPr>
        <w:pStyle w:val="a3"/>
        <w:widowControl w:val="0"/>
        <w:numPr>
          <w:ilvl w:val="0"/>
          <w:numId w:val="23"/>
        </w:numPr>
        <w:ind w:leftChars="0"/>
        <w:rPr>
          <w:sz w:val="32"/>
          <w:szCs w:val="32"/>
        </w:rPr>
      </w:pPr>
      <w:r>
        <w:rPr>
          <w:sz w:val="32"/>
          <w:szCs w:val="32"/>
        </w:rPr>
        <w:t>王董看好台股未來的走勢，想買台股連結的結構型商品，可是擔心商品天期太長，在產品期間內無法獲利了結，讓獲利只是曇花一現，請問王董所擔心的是下列何種風險(A)發行機構的信用風險(B)發行機構的作業風險(C)法律風險(D)流動性風險</w:t>
      </w:r>
    </w:p>
    <w:p w14:paraId="0476A35C" w14:textId="77777777" w:rsidR="004232BC" w:rsidRPr="002D3CA9" w:rsidRDefault="004232BC" w:rsidP="004232BC">
      <w:pPr>
        <w:pStyle w:val="a3"/>
        <w:ind w:leftChars="0" w:left="360"/>
        <w:rPr>
          <w:sz w:val="32"/>
          <w:szCs w:val="32"/>
        </w:rPr>
      </w:pPr>
    </w:p>
    <w:p w14:paraId="161341B1" w14:textId="77777777" w:rsidR="004232BC" w:rsidRDefault="004232BC" w:rsidP="004232BC">
      <w:pPr>
        <w:rPr>
          <w:rFonts w:ascii="微軟正黑體" w:eastAsia="微軟正黑體" w:hAnsi="微軟正黑體"/>
          <w:color w:val="000000"/>
          <w:szCs w:val="24"/>
          <w:shd w:val="clear" w:color="auto" w:fill="FFFFFF"/>
        </w:rPr>
      </w:pPr>
      <w:r w:rsidRPr="00D80A93">
        <w:rPr>
          <w:rFonts w:ascii="微軟正黑體" w:eastAsia="微軟正黑體" w:hAnsi="微軟正黑體" w:hint="eastAsia"/>
          <w:color w:val="000000"/>
          <w:szCs w:val="24"/>
          <w:shd w:val="clear" w:color="auto" w:fill="FFFFFF"/>
        </w:rPr>
        <w:t>指定銀行辦理新臺幣與外幣間換匯(swap)業務，下列敘述何者錯誤？</w:t>
      </w:r>
      <w:r>
        <w:rPr>
          <w:rFonts w:ascii="微軟正黑體" w:eastAsia="微軟正黑體" w:hAnsi="微軟正黑體" w:hint="eastAsia"/>
          <w:color w:val="000000"/>
          <w:szCs w:val="24"/>
          <w:shd w:val="clear" w:color="auto" w:fill="FFFFFF"/>
        </w:rPr>
        <w:t>A</w:t>
      </w:r>
      <w:r w:rsidRPr="00D80A93">
        <w:rPr>
          <w:rFonts w:ascii="微軟正黑體" w:eastAsia="微軟正黑體" w:hAnsi="微軟正黑體" w:hint="eastAsia"/>
          <w:color w:val="000000"/>
          <w:szCs w:val="24"/>
        </w:rPr>
        <w:br/>
      </w:r>
      <w:r w:rsidRPr="00D80A93">
        <w:rPr>
          <w:rFonts w:ascii="微軟正黑體" w:eastAsia="微軟正黑體" w:hAnsi="微軟正黑體" w:hint="eastAsia"/>
          <w:color w:val="000000"/>
          <w:szCs w:val="24"/>
          <w:shd w:val="clear" w:color="auto" w:fill="FFFFFF"/>
        </w:rPr>
        <w:t>(A)換匯交易係指辦理新臺幣與外幣間即期外匯交易</w:t>
      </w:r>
      <w:r w:rsidRPr="00D80A93">
        <w:rPr>
          <w:rFonts w:ascii="微軟正黑體" w:eastAsia="微軟正黑體" w:hAnsi="微軟正黑體" w:hint="eastAsia"/>
          <w:color w:val="000000"/>
          <w:szCs w:val="24"/>
        </w:rPr>
        <w:br/>
      </w:r>
      <w:r w:rsidRPr="00D80A93">
        <w:rPr>
          <w:rFonts w:ascii="微軟正黑體" w:eastAsia="微軟正黑體" w:hAnsi="微軟正黑體" w:hint="eastAsia"/>
          <w:color w:val="000000"/>
          <w:szCs w:val="24"/>
          <w:shd w:val="clear" w:color="auto" w:fill="FFFFFF"/>
        </w:rPr>
        <w:t>(B)承作對象為國外法人，應查驗主管機關核准文件</w:t>
      </w:r>
      <w:r w:rsidRPr="00D80A93">
        <w:rPr>
          <w:rFonts w:ascii="微軟正黑體" w:eastAsia="微軟正黑體" w:hAnsi="微軟正黑體" w:hint="eastAsia"/>
          <w:color w:val="000000"/>
          <w:szCs w:val="24"/>
        </w:rPr>
        <w:br/>
      </w:r>
      <w:r w:rsidRPr="00D80A93">
        <w:rPr>
          <w:rFonts w:ascii="微軟正黑體" w:eastAsia="微軟正黑體" w:hAnsi="微軟正黑體" w:hint="eastAsia"/>
          <w:color w:val="000000"/>
          <w:szCs w:val="24"/>
          <w:shd w:val="clear" w:color="auto" w:fill="FFFFFF"/>
        </w:rPr>
        <w:t>(C)承作對象為國內法人，無須檢附文件</w:t>
      </w:r>
      <w:r w:rsidRPr="00D80A93">
        <w:rPr>
          <w:rFonts w:ascii="微軟正黑體" w:eastAsia="微軟正黑體" w:hAnsi="微軟正黑體" w:hint="eastAsia"/>
          <w:color w:val="000000"/>
          <w:szCs w:val="24"/>
        </w:rPr>
        <w:br/>
      </w:r>
      <w:r w:rsidRPr="00D80A93">
        <w:rPr>
          <w:rFonts w:ascii="微軟正黑體" w:eastAsia="微軟正黑體" w:hAnsi="微軟正黑體" w:hint="eastAsia"/>
          <w:color w:val="000000"/>
          <w:szCs w:val="24"/>
          <w:shd w:val="clear" w:color="auto" w:fill="FFFFFF"/>
        </w:rPr>
        <w:lastRenderedPageBreak/>
        <w:t>(D)換匯交易結匯，顧客應填寫外匯收支或交易申報書，並依實際匯款性質填寫</w:t>
      </w:r>
    </w:p>
    <w:p w14:paraId="7BCBD8CC" w14:textId="77777777" w:rsidR="004232BC" w:rsidRDefault="004232BC" w:rsidP="004232BC">
      <w:pPr>
        <w:rPr>
          <w:rFonts w:ascii="Arial" w:hAnsi="Arial" w:cs="Arial"/>
          <w:color w:val="FF0000"/>
          <w:sz w:val="22"/>
          <w:shd w:val="clear" w:color="auto" w:fill="FFFFFF"/>
        </w:rPr>
      </w:pPr>
      <w:r w:rsidRPr="00D80A93">
        <w:rPr>
          <w:rFonts w:ascii="微軟正黑體" w:eastAsia="微軟正黑體" w:hAnsi="微軟正黑體" w:hint="eastAsia"/>
          <w:color w:val="FF0000"/>
          <w:sz w:val="22"/>
          <w:shd w:val="clear" w:color="auto" w:fill="FFFFFF"/>
        </w:rPr>
        <w:t>解析:</w:t>
      </w:r>
      <w:r w:rsidRPr="00D80A93">
        <w:rPr>
          <w:rStyle w:val="ad"/>
          <w:rFonts w:ascii="Arial" w:hAnsi="Arial" w:cs="Arial"/>
          <w:color w:val="FF0000"/>
          <w:sz w:val="22"/>
          <w:shd w:val="clear" w:color="auto" w:fill="FFFFFF"/>
        </w:rPr>
        <w:t xml:space="preserve"> </w:t>
      </w:r>
      <w:r w:rsidRPr="00D80A93">
        <w:rPr>
          <w:rStyle w:val="ad"/>
          <w:rFonts w:ascii="Arial" w:hAnsi="Arial" w:cs="Arial"/>
          <w:color w:val="FF0000"/>
          <w:sz w:val="22"/>
          <w:shd w:val="clear" w:color="auto" w:fill="FFFFFF"/>
        </w:rPr>
        <w:t>換匯交易</w:t>
      </w:r>
      <w:r w:rsidRPr="00D80A93">
        <w:rPr>
          <w:rFonts w:ascii="Arial" w:hAnsi="Arial" w:cs="Arial"/>
          <w:color w:val="FF0000"/>
          <w:sz w:val="22"/>
          <w:shd w:val="clear" w:color="auto" w:fill="FFFFFF"/>
        </w:rPr>
        <w:t>（</w:t>
      </w:r>
      <w:r w:rsidRPr="00D80A93">
        <w:rPr>
          <w:rFonts w:ascii="Arial" w:hAnsi="Arial" w:cs="Arial"/>
          <w:color w:val="FF0000"/>
          <w:sz w:val="22"/>
          <w:shd w:val="clear" w:color="auto" w:fill="FFFFFF"/>
        </w:rPr>
        <w:t>FX Swap</w:t>
      </w:r>
      <w:r w:rsidRPr="00D80A93">
        <w:rPr>
          <w:rFonts w:ascii="Arial" w:hAnsi="Arial" w:cs="Arial"/>
          <w:color w:val="FF0000"/>
          <w:sz w:val="22"/>
          <w:shd w:val="clear" w:color="auto" w:fill="FFFFFF"/>
        </w:rPr>
        <w:t>）是一種即期與遠期，或遠期與遠期同時進行、方向相反的外匯交易</w:t>
      </w:r>
    </w:p>
    <w:p w14:paraId="5648FE79" w14:textId="77777777" w:rsidR="004232BC" w:rsidRDefault="004232BC" w:rsidP="004232BC">
      <w:pPr>
        <w:rPr>
          <w:rFonts w:ascii="Arial" w:hAnsi="Arial" w:cs="Arial"/>
          <w:color w:val="FF0000"/>
          <w:sz w:val="22"/>
          <w:shd w:val="clear" w:color="auto" w:fill="FFFFFF"/>
        </w:rPr>
      </w:pPr>
    </w:p>
    <w:p w14:paraId="4957453E" w14:textId="77777777" w:rsidR="004232BC" w:rsidRDefault="004232BC" w:rsidP="004232BC">
      <w:pPr>
        <w:rPr>
          <w:rFonts w:ascii="Arial" w:hAnsi="Arial" w:cs="Arial"/>
          <w:color w:val="000000" w:themeColor="text1"/>
          <w:sz w:val="22"/>
          <w:shd w:val="clear" w:color="auto" w:fill="FFFFFF"/>
        </w:rPr>
      </w:pPr>
      <w:r w:rsidRPr="00D80A93">
        <w:rPr>
          <w:rFonts w:ascii="Arial" w:hAnsi="Arial" w:cs="Arial" w:hint="eastAsia"/>
          <w:color w:val="000000" w:themeColor="text1"/>
          <w:sz w:val="22"/>
          <w:shd w:val="clear" w:color="auto" w:fill="FFFFFF"/>
        </w:rPr>
        <w:t>指定銀行辦理</w:t>
      </w:r>
      <w:r>
        <w:rPr>
          <w:rFonts w:ascii="Arial" w:hAnsi="Arial" w:cs="Arial" w:hint="eastAsia"/>
          <w:color w:val="000000" w:themeColor="text1"/>
          <w:sz w:val="22"/>
          <w:shd w:val="clear" w:color="auto" w:fill="FFFFFF"/>
        </w:rPr>
        <w:t>外匯衍生性商品，針對下列何者，客戶仍應親自書寫［本人已充分了解本商品並同意承擔其風險］之情形</w:t>
      </w:r>
      <w:r>
        <w:rPr>
          <w:rFonts w:ascii="Arial" w:hAnsi="Arial" w:cs="Arial" w:hint="eastAsia"/>
          <w:color w:val="000000" w:themeColor="text1"/>
          <w:sz w:val="22"/>
          <w:shd w:val="clear" w:color="auto" w:fill="FFFFFF"/>
        </w:rPr>
        <w:t xml:space="preserve"> </w:t>
      </w:r>
      <w:r>
        <w:rPr>
          <w:rFonts w:ascii="Arial" w:hAnsi="Arial" w:cs="Arial"/>
          <w:color w:val="000000" w:themeColor="text1"/>
          <w:sz w:val="22"/>
          <w:shd w:val="clear" w:color="auto" w:fill="FFFFFF"/>
        </w:rPr>
        <w:t>D</w:t>
      </w:r>
    </w:p>
    <w:p w14:paraId="34083AD5" w14:textId="77777777" w:rsidR="004232BC" w:rsidRPr="00D80A93" w:rsidRDefault="004232BC" w:rsidP="004232BC">
      <w:pPr>
        <w:pStyle w:val="a3"/>
        <w:widowControl w:val="0"/>
        <w:numPr>
          <w:ilvl w:val="0"/>
          <w:numId w:val="24"/>
        </w:numPr>
        <w:ind w:leftChars="0"/>
        <w:rPr>
          <w:rFonts w:ascii="微軟正黑體" w:eastAsia="微軟正黑體" w:hAnsi="微軟正黑體"/>
          <w:color w:val="000000"/>
          <w:shd w:val="clear" w:color="auto" w:fill="FFFFFF"/>
        </w:rPr>
      </w:pPr>
      <w:r w:rsidRPr="00D80A93">
        <w:rPr>
          <w:rFonts w:ascii="Arial" w:hAnsi="Arial" w:cs="Arial" w:hint="eastAsia"/>
          <w:color w:val="000000" w:themeColor="text1"/>
          <w:sz w:val="22"/>
          <w:shd w:val="clear" w:color="auto" w:fill="FFFFFF"/>
        </w:rPr>
        <w:t>換匯交易</w:t>
      </w:r>
      <w:r w:rsidRPr="00D80A93">
        <w:rPr>
          <w:rFonts w:ascii="Arial" w:hAnsi="Arial" w:cs="Arial" w:hint="eastAsia"/>
          <w:color w:val="000000" w:themeColor="text1"/>
          <w:sz w:val="22"/>
          <w:shd w:val="clear" w:color="auto" w:fill="FFFFFF"/>
        </w:rPr>
        <w:t xml:space="preserve"> </w:t>
      </w:r>
      <w:r w:rsidRPr="00D80A93">
        <w:rPr>
          <w:rFonts w:ascii="微軟正黑體" w:eastAsia="微軟正黑體" w:hAnsi="微軟正黑體" w:hint="eastAsia"/>
          <w:color w:val="000000"/>
          <w:shd w:val="clear" w:color="auto" w:fill="FFFFFF"/>
        </w:rPr>
        <w:t>(B)遠期外匯交易(C</w:t>
      </w:r>
      <w:r w:rsidRPr="00D80A93">
        <w:rPr>
          <w:rFonts w:ascii="微軟正黑體" w:eastAsia="微軟正黑體" w:hAnsi="微軟正黑體"/>
          <w:color w:val="000000"/>
          <w:shd w:val="clear" w:color="auto" w:fill="FFFFFF"/>
        </w:rPr>
        <w:t>)</w:t>
      </w:r>
      <w:r w:rsidRPr="00D80A93">
        <w:rPr>
          <w:rFonts w:ascii="微軟正黑體" w:eastAsia="微軟正黑體" w:hAnsi="微軟正黑體" w:hint="eastAsia"/>
          <w:color w:val="000000"/>
          <w:shd w:val="clear" w:color="auto" w:fill="FFFFFF"/>
        </w:rPr>
        <w:t>外幣利率交換 (</w:t>
      </w:r>
      <w:r w:rsidRPr="00D80A93">
        <w:rPr>
          <w:rFonts w:ascii="微軟正黑體" w:eastAsia="微軟正黑體" w:hAnsi="微軟正黑體"/>
          <w:color w:val="000000"/>
          <w:shd w:val="clear" w:color="auto" w:fill="FFFFFF"/>
        </w:rPr>
        <w:t>D)</w:t>
      </w:r>
      <w:r w:rsidRPr="00D80A93">
        <w:rPr>
          <w:rFonts w:ascii="微軟正黑體" w:eastAsia="微軟正黑體" w:hAnsi="微軟正黑體" w:hint="eastAsia"/>
          <w:color w:val="000000"/>
          <w:shd w:val="clear" w:color="auto" w:fill="FFFFFF"/>
        </w:rPr>
        <w:t>外幣匯率選擇權</w:t>
      </w:r>
    </w:p>
    <w:p w14:paraId="3AC5D904" w14:textId="77777777" w:rsidR="004232BC" w:rsidRDefault="004232BC" w:rsidP="004232BC">
      <w:pPr>
        <w:rPr>
          <w:rFonts w:ascii="微軟正黑體" w:eastAsia="微軟正黑體" w:hAnsi="微軟正黑體"/>
          <w:color w:val="000000"/>
          <w:sz w:val="22"/>
          <w:shd w:val="clear" w:color="auto" w:fill="FFFFFF"/>
        </w:rPr>
      </w:pPr>
      <w:r w:rsidRPr="00D80A93">
        <w:rPr>
          <w:rFonts w:ascii="微軟正黑體" w:eastAsia="微軟正黑體" w:hAnsi="微軟正黑體" w:hint="eastAsia"/>
          <w:color w:val="000000"/>
          <w:szCs w:val="24"/>
          <w:shd w:val="clear" w:color="auto" w:fill="FFFFFF"/>
        </w:rPr>
        <w:t>有關指定銀行辦理新臺幣匯率選擇權業務之規範，下列敘述何者錯誤？</w:t>
      </w:r>
      <w:r>
        <w:rPr>
          <w:rFonts w:ascii="微軟正黑體" w:eastAsia="微軟正黑體" w:hAnsi="微軟正黑體"/>
          <w:color w:val="000000"/>
          <w:szCs w:val="24"/>
          <w:shd w:val="clear" w:color="auto" w:fill="FFFFFF"/>
        </w:rPr>
        <w:t>A</w:t>
      </w:r>
      <w:r w:rsidRPr="00D80A93">
        <w:rPr>
          <w:rFonts w:ascii="微軟正黑體" w:eastAsia="微軟正黑體" w:hAnsi="微軟正黑體" w:hint="eastAsia"/>
          <w:color w:val="000000"/>
          <w:szCs w:val="24"/>
        </w:rPr>
        <w:br/>
      </w:r>
      <w:r w:rsidRPr="00D80A93">
        <w:rPr>
          <w:rFonts w:ascii="微軟正黑體" w:eastAsia="微軟正黑體" w:hAnsi="微軟正黑體" w:hint="eastAsia"/>
          <w:color w:val="000000"/>
          <w:szCs w:val="24"/>
          <w:shd w:val="clear" w:color="auto" w:fill="FFFFFF"/>
        </w:rPr>
        <w:t>(</w:t>
      </w:r>
      <w:r w:rsidRPr="00D80A93">
        <w:rPr>
          <w:rFonts w:ascii="微軟正黑體" w:eastAsia="微軟正黑體" w:hAnsi="微軟正黑體" w:hint="eastAsia"/>
          <w:color w:val="000000"/>
          <w:sz w:val="22"/>
          <w:shd w:val="clear" w:color="auto" w:fill="FFFFFF"/>
        </w:rPr>
        <w:t>A)承作對象為國內外法人及自然人</w:t>
      </w:r>
      <w:r w:rsidRPr="00D80A93">
        <w:rPr>
          <w:rFonts w:ascii="微軟正黑體" w:eastAsia="微軟正黑體" w:hAnsi="微軟正黑體" w:hint="eastAsia"/>
          <w:color w:val="000000"/>
          <w:sz w:val="22"/>
        </w:rPr>
        <w:br/>
      </w:r>
      <w:r w:rsidRPr="00D80A93">
        <w:rPr>
          <w:rFonts w:ascii="微軟正黑體" w:eastAsia="微軟正黑體" w:hAnsi="微軟正黑體" w:hint="eastAsia"/>
          <w:color w:val="000000"/>
          <w:sz w:val="22"/>
          <w:shd w:val="clear" w:color="auto" w:fill="FFFFFF"/>
        </w:rPr>
        <w:t>(B)到期履約時得以差額或總額交割，且應於契約中訂明</w:t>
      </w:r>
      <w:r w:rsidRPr="00D80A93">
        <w:rPr>
          <w:rFonts w:ascii="微軟正黑體" w:eastAsia="微軟正黑體" w:hAnsi="微軟正黑體" w:hint="eastAsia"/>
          <w:color w:val="000000"/>
          <w:sz w:val="22"/>
        </w:rPr>
        <w:br/>
      </w:r>
      <w:r w:rsidRPr="00D80A93">
        <w:rPr>
          <w:rFonts w:ascii="微軟正黑體" w:eastAsia="微軟正黑體" w:hAnsi="微軟正黑體" w:hint="eastAsia"/>
          <w:color w:val="000000"/>
          <w:sz w:val="22"/>
          <w:shd w:val="clear" w:color="auto" w:fill="FFFFFF"/>
        </w:rPr>
        <w:t>(C)權利金及履約交割之幣別，得以所承作交易之外幣或新臺幣為之，且應於契約中訂明</w:t>
      </w:r>
      <w:r w:rsidRPr="00D80A93">
        <w:rPr>
          <w:rFonts w:ascii="微軟正黑體" w:eastAsia="微軟正黑體" w:hAnsi="微軟正黑體" w:hint="eastAsia"/>
          <w:color w:val="000000"/>
          <w:sz w:val="22"/>
        </w:rPr>
        <w:br/>
      </w:r>
      <w:r w:rsidRPr="00D80A93">
        <w:rPr>
          <w:rFonts w:ascii="微軟正黑體" w:eastAsia="微軟正黑體" w:hAnsi="微軟正黑體" w:hint="eastAsia"/>
          <w:color w:val="000000"/>
          <w:sz w:val="22"/>
          <w:shd w:val="clear" w:color="auto" w:fill="FFFFFF"/>
        </w:rPr>
        <w:t>(D)僅得辦理陽春型(Plain Vanilla)選擇權，且非經中央銀行許可，不得就本項業務自行組合或與其他衍生性商品、新 臺幣或外幣本金或其他業務、產品組合</w:t>
      </w:r>
    </w:p>
    <w:p w14:paraId="53234DE9" w14:textId="77777777" w:rsidR="004232BC" w:rsidRDefault="004232BC" w:rsidP="004232BC">
      <w:pPr>
        <w:rPr>
          <w:rFonts w:ascii="微軟正黑體" w:eastAsia="微軟正黑體" w:hAnsi="微軟正黑體"/>
          <w:color w:val="000000"/>
          <w:sz w:val="22"/>
          <w:shd w:val="clear" w:color="auto" w:fill="FFFFFF"/>
        </w:rPr>
      </w:pPr>
      <w:r>
        <w:rPr>
          <w:rFonts w:ascii="微軟正黑體" w:eastAsia="微軟正黑體" w:hAnsi="微軟正黑體" w:hint="eastAsia"/>
          <w:color w:val="000000"/>
          <w:sz w:val="22"/>
          <w:shd w:val="clear" w:color="auto" w:fill="FFFFFF"/>
        </w:rPr>
        <w:t>解析:</w:t>
      </w:r>
      <w:r w:rsidRPr="00EC2A28">
        <w:rPr>
          <w:rFonts w:ascii="微軟正黑體" w:eastAsia="微軟正黑體" w:hAnsi="微軟正黑體" w:hint="eastAsia"/>
          <w:color w:val="000000"/>
          <w:sz w:val="22"/>
          <w:shd w:val="clear" w:color="auto" w:fill="FFFFFF"/>
        </w:rPr>
        <w:t xml:space="preserve"> </w:t>
      </w:r>
      <w:r w:rsidRPr="00D80A93">
        <w:rPr>
          <w:rFonts w:ascii="微軟正黑體" w:eastAsia="微軟正黑體" w:hAnsi="微軟正黑體" w:hint="eastAsia"/>
          <w:color w:val="000000"/>
          <w:sz w:val="22"/>
          <w:shd w:val="clear" w:color="auto" w:fill="FFFFFF"/>
        </w:rPr>
        <w:t>承作對象</w:t>
      </w:r>
      <w:r>
        <w:rPr>
          <w:rFonts w:ascii="微軟正黑體" w:eastAsia="微軟正黑體" w:hAnsi="微軟正黑體" w:hint="eastAsia"/>
          <w:color w:val="000000"/>
          <w:sz w:val="22"/>
          <w:shd w:val="clear" w:color="auto" w:fill="FFFFFF"/>
        </w:rPr>
        <w:t>為國內外法人為限</w:t>
      </w:r>
    </w:p>
    <w:p w14:paraId="0C70CD39" w14:textId="77777777" w:rsidR="004232BC" w:rsidRDefault="004232BC" w:rsidP="004232BC">
      <w:pPr>
        <w:rPr>
          <w:rFonts w:ascii="微軟正黑體" w:eastAsia="微軟正黑體" w:hAnsi="微軟正黑體"/>
          <w:color w:val="000000"/>
          <w:szCs w:val="24"/>
          <w:shd w:val="clear" w:color="auto" w:fill="FFFFFF"/>
        </w:rPr>
      </w:pPr>
      <w:r w:rsidRPr="00EC2A28">
        <w:rPr>
          <w:rFonts w:ascii="微軟正黑體" w:eastAsia="微軟正黑體" w:hAnsi="微軟正黑體" w:hint="eastAsia"/>
          <w:color w:val="000000"/>
          <w:szCs w:val="24"/>
          <w:shd w:val="clear" w:color="auto" w:fill="FFFFFF"/>
        </w:rPr>
        <w:t>有關無本金交割新台幣遠期外匯業務(NDF)，下列敘述何者錯誤？</w:t>
      </w:r>
      <w:r w:rsidRPr="00EC2A28">
        <w:rPr>
          <w:rFonts w:ascii="微軟正黑體" w:eastAsia="微軟正黑體" w:hAnsi="微軟正黑體" w:hint="eastAsia"/>
          <w:color w:val="000000"/>
          <w:szCs w:val="24"/>
        </w:rPr>
        <w:br/>
      </w:r>
      <w:r w:rsidRPr="00EC2A28">
        <w:rPr>
          <w:rFonts w:ascii="微軟正黑體" w:eastAsia="微軟正黑體" w:hAnsi="微軟正黑體" w:hint="eastAsia"/>
          <w:color w:val="000000"/>
          <w:szCs w:val="24"/>
          <w:shd w:val="clear" w:color="auto" w:fill="FFFFFF"/>
        </w:rPr>
        <w:t>(A) 到期結清時，一律採現金差價交易</w:t>
      </w:r>
      <w:r w:rsidRPr="00EC2A28">
        <w:rPr>
          <w:rFonts w:ascii="微軟正黑體" w:eastAsia="微軟正黑體" w:hAnsi="微軟正黑體" w:hint="eastAsia"/>
          <w:color w:val="000000"/>
          <w:szCs w:val="24"/>
        </w:rPr>
        <w:br/>
      </w:r>
      <w:r w:rsidRPr="00EC2A28">
        <w:rPr>
          <w:rFonts w:ascii="微軟正黑體" w:eastAsia="微軟正黑體" w:hAnsi="微軟正黑體" w:hint="eastAsia"/>
          <w:color w:val="000000"/>
          <w:szCs w:val="24"/>
          <w:shd w:val="clear" w:color="auto" w:fill="FFFFFF"/>
        </w:rPr>
        <w:t>(B) 本項交易不得展期，亦不得提前解約</w:t>
      </w:r>
      <w:r w:rsidRPr="00EC2A28">
        <w:rPr>
          <w:rFonts w:ascii="微軟正黑體" w:eastAsia="微軟正黑體" w:hAnsi="微軟正黑體" w:hint="eastAsia"/>
          <w:color w:val="000000"/>
          <w:szCs w:val="24"/>
        </w:rPr>
        <w:br/>
      </w:r>
      <w:r w:rsidRPr="00EC2A28">
        <w:rPr>
          <w:rFonts w:ascii="微軟正黑體" w:eastAsia="微軟正黑體" w:hAnsi="微軟正黑體" w:hint="eastAsia"/>
          <w:color w:val="000000"/>
          <w:szCs w:val="24"/>
          <w:shd w:val="clear" w:color="auto" w:fill="FFFFFF"/>
        </w:rPr>
        <w:t>(C) 承作對象以國內法人為限</w:t>
      </w:r>
      <w:r w:rsidRPr="00EC2A28">
        <w:rPr>
          <w:rFonts w:ascii="微軟正黑體" w:eastAsia="微軟正黑體" w:hAnsi="微軟正黑體" w:hint="eastAsia"/>
          <w:color w:val="000000"/>
          <w:szCs w:val="24"/>
        </w:rPr>
        <w:br/>
      </w:r>
      <w:r w:rsidRPr="00EC2A28">
        <w:rPr>
          <w:rFonts w:ascii="微軟正黑體" w:eastAsia="微軟正黑體" w:hAnsi="微軟正黑體" w:hint="eastAsia"/>
          <w:color w:val="000000"/>
          <w:szCs w:val="24"/>
          <w:shd w:val="clear" w:color="auto" w:fill="FFFFFF"/>
        </w:rPr>
        <w:t>(D) 不得以保證金交易槓桿方式處理</w:t>
      </w:r>
    </w:p>
    <w:p w14:paraId="5E7DB48F"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5F5F5"/>
        </w:rPr>
      </w:pPr>
      <w:r w:rsidRPr="00EC2A28">
        <w:rPr>
          <w:rFonts w:ascii="微軟正黑體" w:eastAsia="微軟正黑體" w:hAnsi="微軟正黑體" w:hint="eastAsia"/>
          <w:color w:val="000000"/>
          <w:shd w:val="clear" w:color="auto" w:fill="FFFFFF"/>
        </w:rPr>
        <w:t>解析:</w:t>
      </w:r>
      <w:r w:rsidRPr="00EC2A28">
        <w:rPr>
          <w:rFonts w:ascii="微軟正黑體" w:eastAsia="微軟正黑體" w:hAnsi="微軟正黑體" w:hint="eastAsia"/>
          <w:color w:val="000000"/>
          <w:shd w:val="clear" w:color="auto" w:fill="F5F5F5"/>
        </w:rPr>
        <w:t xml:space="preserve"> 承作對象:</w:t>
      </w:r>
      <w:r w:rsidRPr="00EC2A28">
        <w:rPr>
          <w:rFonts w:ascii="微軟正黑體" w:eastAsia="微軟正黑體" w:hAnsi="微軟正黑體" w:hint="eastAsia"/>
          <w:color w:val="000000"/>
          <w:shd w:val="clear" w:color="auto" w:fill="FFFF00"/>
        </w:rPr>
        <w:t> 國內指定銀行</w:t>
      </w:r>
      <w:r w:rsidRPr="00EC2A28">
        <w:rPr>
          <w:rFonts w:ascii="微軟正黑體" w:eastAsia="微軟正黑體" w:hAnsi="微軟正黑體" w:hint="eastAsia"/>
          <w:color w:val="000000"/>
          <w:shd w:val="clear" w:color="auto" w:fill="F5F5F5"/>
        </w:rPr>
        <w:t>、</w:t>
      </w:r>
      <w:r w:rsidRPr="00EC2A28">
        <w:rPr>
          <w:rFonts w:ascii="微軟正黑體" w:eastAsia="微軟正黑體" w:hAnsi="微軟正黑體" w:hint="eastAsia"/>
          <w:color w:val="000000"/>
          <w:shd w:val="clear" w:color="auto" w:fill="FFFF00"/>
        </w:rPr>
        <w:t>指定銀行本身的海外分行</w:t>
      </w:r>
      <w:r w:rsidRPr="00EC2A28">
        <w:rPr>
          <w:rFonts w:ascii="微軟正黑體" w:eastAsia="微軟正黑體" w:hAnsi="微軟正黑體" w:hint="eastAsia"/>
          <w:color w:val="000000"/>
          <w:shd w:val="clear" w:color="auto" w:fill="F5F5F5"/>
        </w:rPr>
        <w:t>、</w:t>
      </w:r>
      <w:r w:rsidRPr="00EC2A28">
        <w:rPr>
          <w:rFonts w:ascii="微軟正黑體" w:eastAsia="微軟正黑體" w:hAnsi="微軟正黑體" w:hint="eastAsia"/>
          <w:color w:val="000000"/>
          <w:shd w:val="clear" w:color="auto" w:fill="FFFF00"/>
        </w:rPr>
        <w:t>總行</w:t>
      </w:r>
      <w:r w:rsidRPr="00EC2A28">
        <w:rPr>
          <w:rFonts w:ascii="微軟正黑體" w:eastAsia="微軟正黑體" w:hAnsi="微軟正黑體" w:hint="eastAsia"/>
          <w:color w:val="000000"/>
          <w:shd w:val="clear" w:color="auto" w:fill="F5F5F5"/>
        </w:rPr>
        <w:t>為限。</w:t>
      </w:r>
    </w:p>
    <w:p w14:paraId="1784BC46"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FFFFF"/>
        </w:rPr>
      </w:pPr>
      <w:r w:rsidRPr="00EC2A28">
        <w:rPr>
          <w:rFonts w:ascii="微軟正黑體" w:eastAsia="微軟正黑體" w:hAnsi="微軟正黑體" w:hint="eastAsia"/>
          <w:color w:val="000000"/>
          <w:shd w:val="clear" w:color="auto" w:fill="FFFFFF"/>
        </w:rPr>
        <w:lastRenderedPageBreak/>
        <w:t>有關新臺幣匯率選擇權業務，下列敘述何者錯誤？</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(A)承作對象以有實際外匯收支需要者為限</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(B)到期履約得以差額或總額交割，且應於契約中訂明</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(C)權利金及履約交割幣別，得以承作交易之外幣或新臺幣為之，且應於契約中訂明</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(D)僅得辦理陽春型(Plain Vanilla )選擇權</w:t>
      </w:r>
    </w:p>
    <w:p w14:paraId="5A37999A"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FFFFF"/>
        </w:rPr>
      </w:pPr>
      <w:r>
        <w:rPr>
          <w:rFonts w:ascii="微軟正黑體" w:eastAsia="微軟正黑體" w:hAnsi="微軟正黑體" w:hint="eastAsia"/>
          <w:color w:val="000000"/>
          <w:shd w:val="clear" w:color="auto" w:fill="FFFFFF"/>
        </w:rPr>
        <w:t>解析:承作對象以國內外法人為限</w:t>
      </w:r>
    </w:p>
    <w:p w14:paraId="220C906C"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FFFFF"/>
        </w:rPr>
      </w:pPr>
      <w:r w:rsidRPr="00EC2A28">
        <w:rPr>
          <w:rFonts w:ascii="微軟正黑體" w:eastAsia="微軟正黑體" w:hAnsi="微軟正黑體" w:hint="eastAsia"/>
          <w:color w:val="000000"/>
          <w:shd w:val="clear" w:color="auto" w:fill="FFFFFF"/>
        </w:rPr>
        <w:t>依目前規定，指定銀行設置外幣提款機，應限制每帳戶每日提領外幣現鈔之上限為何？</w:t>
      </w:r>
      <w:r>
        <w:rPr>
          <w:rFonts w:ascii="微軟正黑體" w:eastAsia="微軟正黑體" w:hAnsi="微軟正黑體"/>
          <w:color w:val="000000"/>
          <w:shd w:val="clear" w:color="auto" w:fill="FFFFFF"/>
        </w:rPr>
        <w:t>C</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(A)等值三千美元</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(B)等值五千美元</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(C)等值一萬美元</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(D)等值新臺幣五十萬元</w:t>
      </w:r>
    </w:p>
    <w:p w14:paraId="570D5327"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FFFFF"/>
        </w:rPr>
      </w:pPr>
      <w:r w:rsidRPr="00EC2A28">
        <w:rPr>
          <w:rFonts w:ascii="微軟正黑體" w:eastAsia="微軟正黑體" w:hAnsi="微軟正黑體" w:hint="eastAsia"/>
          <w:color w:val="000000"/>
          <w:shd w:val="clear" w:color="auto" w:fill="FFFFFF"/>
        </w:rPr>
        <w:t>外匯指定銀行擬辦理「對專業機構投資人辦理尚未開放或開放未滿半年，且未涉及新臺幣匯率之外匯衍生性商品 業務，並符合其主管機關相關規定」之申辦程序為何？</w:t>
      </w:r>
      <w:r>
        <w:rPr>
          <w:rFonts w:ascii="微軟正黑體" w:eastAsia="微軟正黑體" w:hAnsi="微軟正黑體" w:hint="eastAsia"/>
          <w:color w:val="000000"/>
          <w:shd w:val="clear" w:color="auto" w:fill="FFFFFF"/>
        </w:rPr>
        <w:t>C</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(A)開辦前申請許可</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(B)開辦前函報備查</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lastRenderedPageBreak/>
        <w:t>(C)開辦後函報備查</w:t>
      </w:r>
      <w:r w:rsidRPr="00EC2A28">
        <w:rPr>
          <w:rFonts w:ascii="微軟正黑體" w:eastAsia="微軟正黑體" w:hAnsi="微軟正黑體" w:hint="eastAsia"/>
          <w:color w:val="000000"/>
        </w:rPr>
        <w:br/>
      </w:r>
      <w:r w:rsidRPr="00EC2A28">
        <w:rPr>
          <w:rFonts w:ascii="微軟正黑體" w:eastAsia="微軟正黑體" w:hAnsi="微軟正黑體" w:hint="eastAsia"/>
          <w:color w:val="000000"/>
          <w:shd w:val="clear" w:color="auto" w:fill="FFFFFF"/>
        </w:rPr>
        <w:t>(D)得不經申請逕行辦理</w:t>
      </w:r>
    </w:p>
    <w:p w14:paraId="353BE9CB" w14:textId="77777777" w:rsidR="004232BC"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FFFFF"/>
        </w:rPr>
      </w:pPr>
      <w:r w:rsidRPr="006C1180">
        <w:rPr>
          <w:rFonts w:ascii="微軟正黑體" w:eastAsia="微軟正黑體" w:hAnsi="微軟正黑體" w:hint="eastAsia"/>
          <w:color w:val="000000"/>
          <w:shd w:val="clear" w:color="auto" w:fill="FFFFFF"/>
        </w:rPr>
        <w:t>銀行辦理外匯衍生性商品業務之相關人員中，何者無需每年應參加國內金融訓練機構舉辦或指定銀行自行舉辦之 外匯衍生性商品教育訓練課程？</w:t>
      </w:r>
      <w:r>
        <w:rPr>
          <w:rFonts w:ascii="微軟正黑體" w:eastAsia="微軟正黑體" w:hAnsi="微軟正黑體"/>
          <w:color w:val="000000"/>
          <w:shd w:val="clear" w:color="auto" w:fill="FFFFFF"/>
        </w:rPr>
        <w:t>C</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(A)外匯衍生性商品推介之經辦及相關管理人員</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(B)辦理外匯衍生性商品之會計人員</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(C)僅負責資料建檔或報表列印人員</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(D)法令遵循人員</w:t>
      </w:r>
    </w:p>
    <w:p w14:paraId="5684D66E" w14:textId="77777777" w:rsidR="004232BC" w:rsidRPr="006C1180" w:rsidRDefault="004232BC" w:rsidP="004232BC">
      <w:pPr>
        <w:pStyle w:val="Web"/>
        <w:wordWrap w:val="0"/>
        <w:spacing w:before="0" w:beforeAutospacing="0" w:after="150" w:afterAutospacing="0" w:line="357" w:lineRule="atLeast"/>
        <w:rPr>
          <w:rFonts w:ascii="微軟正黑體" w:eastAsia="微軟正黑體" w:hAnsi="微軟正黑體"/>
          <w:color w:val="000000"/>
          <w:shd w:val="clear" w:color="auto" w:fill="F5F5F5"/>
        </w:rPr>
      </w:pPr>
      <w:r w:rsidRPr="006C1180">
        <w:rPr>
          <w:rFonts w:ascii="微軟正黑體" w:eastAsia="微軟正黑體" w:hAnsi="微軟正黑體" w:hint="eastAsia"/>
          <w:color w:val="000000"/>
          <w:shd w:val="clear" w:color="auto" w:fill="FFFFFF"/>
        </w:rPr>
        <w:t>指定銀行臨櫃受理顧客辦理新臺幣與外幣間匯率之大額業務，下列何者錯誤？</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(A)指定銀行受理公司、行號等值一百萬美元以上結購、結售外匯，應於確認交易相關證明文件無誤後，於訂約日 立即傳送</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(B)指定銀行受理公司、行號等值一百萬美元以上之新臺幣與外幣間遠期外匯交易、換匯換利交易(CCS)，應於確認 交易相關證明文件無誤後，於訂約日之次營業日中午十二時前傳送</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(C)本國指定銀行就其海外分行受理境內外法人、境外金融機構及本國指定銀行海外分行等值一千萬美元以上之無 本金交割新臺幣遠期外匯交易(NDF)，應於訂約日立即傳送</w:t>
      </w:r>
      <w:r w:rsidRPr="006C1180">
        <w:rPr>
          <w:rFonts w:ascii="微軟正黑體" w:eastAsia="微軟正黑體" w:hAnsi="微軟正黑體" w:hint="eastAsia"/>
          <w:color w:val="000000"/>
        </w:rPr>
        <w:br/>
      </w:r>
      <w:r w:rsidRPr="006C1180">
        <w:rPr>
          <w:rFonts w:ascii="微軟正黑體" w:eastAsia="微軟正黑體" w:hAnsi="微軟正黑體" w:hint="eastAsia"/>
          <w:color w:val="000000"/>
          <w:shd w:val="clear" w:color="auto" w:fill="FFFFFF"/>
        </w:rPr>
        <w:t>(D)指定銀行受理個人、團體等值五十萬美元以上結購、結售外匯，應於確認交易相關證明文件無誤後，於訂約日 立即傳送</w:t>
      </w:r>
    </w:p>
    <w:p w14:paraId="412310F4" w14:textId="77777777" w:rsidR="004232BC" w:rsidRDefault="004232BC" w:rsidP="004232BC">
      <w:pPr>
        <w:rPr>
          <w:rFonts w:ascii="微軟正黑體" w:eastAsia="微軟正黑體" w:hAnsi="微軟正黑體"/>
          <w:color w:val="000000"/>
          <w:szCs w:val="24"/>
          <w:shd w:val="clear" w:color="auto" w:fill="F5F5F5"/>
        </w:rPr>
      </w:pPr>
      <w:r w:rsidRPr="006C1180">
        <w:rPr>
          <w:rFonts w:hint="eastAsia"/>
          <w:color w:val="000000" w:themeColor="text1"/>
          <w:szCs w:val="24"/>
        </w:rPr>
        <w:lastRenderedPageBreak/>
        <w:t>解析</w:t>
      </w:r>
      <w:r w:rsidRPr="006C1180">
        <w:rPr>
          <w:rFonts w:hint="eastAsia"/>
          <w:color w:val="000000" w:themeColor="text1"/>
          <w:szCs w:val="24"/>
        </w:rPr>
        <w:t>:</w:t>
      </w:r>
      <w:r w:rsidRPr="006C1180">
        <w:rPr>
          <w:color w:val="000000" w:themeColor="text1"/>
          <w:szCs w:val="24"/>
        </w:rPr>
        <w:t>C</w:t>
      </w:r>
      <w:r w:rsidRPr="006C1180">
        <w:rPr>
          <w:rFonts w:ascii="微軟正黑體" w:eastAsia="微軟正黑體" w:hAnsi="微軟正黑體" w:hint="eastAsia"/>
          <w:color w:val="000000"/>
          <w:szCs w:val="24"/>
          <w:shd w:val="clear" w:color="auto" w:fill="F5F5F5"/>
        </w:rPr>
        <w:t>無本金交割新臺幣遠期外匯交易，每筆金額達五百萬美元以上者，應立即電告本行(中央銀行)外匯局</w:t>
      </w:r>
    </w:p>
    <w:p w14:paraId="794E360E" w14:textId="77777777" w:rsidR="004232BC" w:rsidRDefault="004232BC" w:rsidP="004232BC">
      <w:pPr>
        <w:rPr>
          <w:rFonts w:ascii="微軟正黑體" w:eastAsia="微軟正黑體" w:hAnsi="微軟正黑體"/>
          <w:color w:val="000000"/>
          <w:szCs w:val="24"/>
          <w:shd w:val="clear" w:color="auto" w:fill="F5F5F5"/>
        </w:rPr>
      </w:pPr>
    </w:p>
    <w:p w14:paraId="487CB9FC" w14:textId="77777777" w:rsidR="004232BC" w:rsidRDefault="004232BC" w:rsidP="004232BC">
      <w:pPr>
        <w:rPr>
          <w:rFonts w:ascii="微軟正黑體" w:eastAsia="微軟正黑體" w:hAnsi="微軟正黑體"/>
          <w:color w:val="000000"/>
          <w:szCs w:val="24"/>
          <w:shd w:val="clear" w:color="auto" w:fill="F5F5F5"/>
        </w:rPr>
      </w:pPr>
      <w:r>
        <w:rPr>
          <w:rFonts w:ascii="微軟正黑體" w:eastAsia="微軟正黑體" w:hAnsi="微軟正黑體" w:hint="eastAsia"/>
          <w:color w:val="000000"/>
          <w:szCs w:val="24"/>
          <w:shd w:val="clear" w:color="auto" w:fill="F5F5F5"/>
        </w:rPr>
        <w:t>指定銀行申辦外幣保證金交易，下列敘述何者正確?</w:t>
      </w:r>
      <w:r>
        <w:rPr>
          <w:rFonts w:ascii="微軟正黑體" w:eastAsia="微軟正黑體" w:hAnsi="微軟正黑體"/>
          <w:color w:val="000000"/>
          <w:szCs w:val="24"/>
          <w:shd w:val="clear" w:color="auto" w:fill="F5F5F5"/>
        </w:rPr>
        <w:t>(A)</w:t>
      </w:r>
      <w:r>
        <w:rPr>
          <w:rFonts w:ascii="微軟正黑體" w:eastAsia="微軟正黑體" w:hAnsi="微軟正黑體" w:hint="eastAsia"/>
          <w:color w:val="000000"/>
          <w:szCs w:val="24"/>
          <w:shd w:val="clear" w:color="auto" w:fill="F5F5F5"/>
        </w:rPr>
        <w:t>不得以外幣貸款為之</w:t>
      </w:r>
    </w:p>
    <w:p w14:paraId="73F7DEF9" w14:textId="77777777" w:rsidR="004232BC" w:rsidRPr="00081D14" w:rsidRDefault="004232BC" w:rsidP="004232BC">
      <w:pPr>
        <w:pStyle w:val="a3"/>
        <w:widowControl w:val="0"/>
        <w:numPr>
          <w:ilvl w:val="0"/>
          <w:numId w:val="24"/>
        </w:numPr>
        <w:ind w:leftChars="0"/>
        <w:rPr>
          <w:rFonts w:ascii="微軟正黑體" w:eastAsia="微軟正黑體" w:hAnsi="微軟正黑體"/>
          <w:color w:val="000000"/>
          <w:shd w:val="clear" w:color="auto" w:fill="F5F5F5"/>
        </w:rPr>
      </w:pPr>
      <w:r w:rsidRPr="00081D14">
        <w:rPr>
          <w:rFonts w:ascii="微軟正黑體" w:eastAsia="微軟正黑體" w:hAnsi="微軟正黑體" w:hint="eastAsia"/>
          <w:color w:val="000000"/>
          <w:shd w:val="clear" w:color="auto" w:fill="F5F5F5"/>
        </w:rPr>
        <w:t>未經許可不得代客操作 (</w:t>
      </w:r>
      <w:r w:rsidRPr="00081D14">
        <w:rPr>
          <w:rFonts w:ascii="微軟正黑體" w:eastAsia="微軟正黑體" w:hAnsi="微軟正黑體"/>
          <w:color w:val="000000"/>
          <w:shd w:val="clear" w:color="auto" w:fill="F5F5F5"/>
        </w:rPr>
        <w:t>C)</w:t>
      </w:r>
      <w:r w:rsidRPr="00081D14">
        <w:rPr>
          <w:rFonts w:ascii="微軟正黑體" w:eastAsia="微軟正黑體" w:hAnsi="微軟正黑體" w:hint="eastAsia"/>
          <w:color w:val="000000"/>
          <w:shd w:val="clear" w:color="auto" w:fill="F5F5F5"/>
        </w:rPr>
        <w:t>不得以聯名帳戶方式處理 (</w:t>
      </w:r>
      <w:r w:rsidRPr="00081D14">
        <w:rPr>
          <w:rFonts w:ascii="微軟正黑體" w:eastAsia="微軟正黑體" w:hAnsi="微軟正黑體"/>
          <w:color w:val="000000"/>
          <w:shd w:val="clear" w:color="auto" w:fill="F5F5F5"/>
        </w:rPr>
        <w:t>D)</w:t>
      </w:r>
      <w:r w:rsidRPr="00081D14">
        <w:rPr>
          <w:rFonts w:ascii="微軟正黑體" w:eastAsia="微軟正黑體" w:hAnsi="微軟正黑體" w:hint="eastAsia"/>
          <w:color w:val="000000"/>
          <w:shd w:val="clear" w:color="auto" w:fill="F5F5F5"/>
        </w:rPr>
        <w:t>得收受非本人所有之定存設置為外幣保證金  C</w:t>
      </w:r>
    </w:p>
    <w:p w14:paraId="0731DBEA" w14:textId="77777777" w:rsidR="004232BC" w:rsidRPr="00081D14" w:rsidRDefault="004232BC" w:rsidP="004232BC">
      <w:pPr>
        <w:rPr>
          <w:color w:val="000000" w:themeColor="text1"/>
          <w:szCs w:val="24"/>
        </w:rPr>
      </w:pPr>
    </w:p>
    <w:p w14:paraId="2BBF5D2C" w14:textId="77777777" w:rsidR="00D537CC" w:rsidRPr="004232BC" w:rsidRDefault="00D537CC" w:rsidP="0085171F">
      <w:pPr>
        <w:rPr>
          <w:rFonts w:ascii="微軟正黑體" w:eastAsia="微軟正黑體" w:hAnsi="微軟正黑體"/>
          <w:color w:val="000000"/>
          <w:sz w:val="28"/>
          <w:szCs w:val="28"/>
          <w:shd w:val="clear" w:color="auto" w:fill="FFFFFF"/>
        </w:rPr>
      </w:pPr>
    </w:p>
    <w:sectPr w:rsidR="00D537CC" w:rsidRPr="004232B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CA5F1" w14:textId="77777777" w:rsidR="001F75CF" w:rsidRDefault="001F75CF" w:rsidP="0085171F">
      <w:r>
        <w:separator/>
      </w:r>
    </w:p>
  </w:endnote>
  <w:endnote w:type="continuationSeparator" w:id="0">
    <w:p w14:paraId="445D27CB" w14:textId="77777777" w:rsidR="001F75CF" w:rsidRDefault="001F75CF" w:rsidP="00851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51AEB" w14:textId="77777777" w:rsidR="001F75CF" w:rsidRDefault="001F75CF" w:rsidP="0085171F">
      <w:r>
        <w:separator/>
      </w:r>
    </w:p>
  </w:footnote>
  <w:footnote w:type="continuationSeparator" w:id="0">
    <w:p w14:paraId="717090F4" w14:textId="77777777" w:rsidR="001F75CF" w:rsidRDefault="001F75CF" w:rsidP="008517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DE9"/>
    <w:multiLevelType w:val="hybridMultilevel"/>
    <w:tmpl w:val="A8680AD6"/>
    <w:lvl w:ilvl="0" w:tplc="FC9A4C2C">
      <w:start w:val="1"/>
      <w:numFmt w:val="bullet"/>
      <w:lvlText w:val="•"/>
      <w:lvlJc w:val="left"/>
      <w:pPr>
        <w:tabs>
          <w:tab w:val="num" w:pos="785"/>
        </w:tabs>
        <w:ind w:left="785" w:hanging="360"/>
      </w:pPr>
      <w:rPr>
        <w:rFonts w:ascii="新細明體" w:hAnsi="新細明體" w:hint="default"/>
      </w:rPr>
    </w:lvl>
    <w:lvl w:ilvl="1" w:tplc="8DD00E86" w:tentative="1">
      <w:start w:val="1"/>
      <w:numFmt w:val="bullet"/>
      <w:lvlText w:val="•"/>
      <w:lvlJc w:val="left"/>
      <w:pPr>
        <w:tabs>
          <w:tab w:val="num" w:pos="1505"/>
        </w:tabs>
        <w:ind w:left="1505" w:hanging="360"/>
      </w:pPr>
      <w:rPr>
        <w:rFonts w:ascii="新細明體" w:hAnsi="新細明體" w:hint="default"/>
      </w:rPr>
    </w:lvl>
    <w:lvl w:ilvl="2" w:tplc="76421DFC" w:tentative="1">
      <w:start w:val="1"/>
      <w:numFmt w:val="bullet"/>
      <w:lvlText w:val="•"/>
      <w:lvlJc w:val="left"/>
      <w:pPr>
        <w:tabs>
          <w:tab w:val="num" w:pos="2225"/>
        </w:tabs>
        <w:ind w:left="2225" w:hanging="360"/>
      </w:pPr>
      <w:rPr>
        <w:rFonts w:ascii="新細明體" w:hAnsi="新細明體" w:hint="default"/>
      </w:rPr>
    </w:lvl>
    <w:lvl w:ilvl="3" w:tplc="CF487ECA" w:tentative="1">
      <w:start w:val="1"/>
      <w:numFmt w:val="bullet"/>
      <w:lvlText w:val="•"/>
      <w:lvlJc w:val="left"/>
      <w:pPr>
        <w:tabs>
          <w:tab w:val="num" w:pos="2945"/>
        </w:tabs>
        <w:ind w:left="2945" w:hanging="360"/>
      </w:pPr>
      <w:rPr>
        <w:rFonts w:ascii="新細明體" w:hAnsi="新細明體" w:hint="default"/>
      </w:rPr>
    </w:lvl>
    <w:lvl w:ilvl="4" w:tplc="AB042394" w:tentative="1">
      <w:start w:val="1"/>
      <w:numFmt w:val="bullet"/>
      <w:lvlText w:val="•"/>
      <w:lvlJc w:val="left"/>
      <w:pPr>
        <w:tabs>
          <w:tab w:val="num" w:pos="3665"/>
        </w:tabs>
        <w:ind w:left="3665" w:hanging="360"/>
      </w:pPr>
      <w:rPr>
        <w:rFonts w:ascii="新細明體" w:hAnsi="新細明體" w:hint="default"/>
      </w:rPr>
    </w:lvl>
    <w:lvl w:ilvl="5" w:tplc="28500FF2" w:tentative="1">
      <w:start w:val="1"/>
      <w:numFmt w:val="bullet"/>
      <w:lvlText w:val="•"/>
      <w:lvlJc w:val="left"/>
      <w:pPr>
        <w:tabs>
          <w:tab w:val="num" w:pos="4385"/>
        </w:tabs>
        <w:ind w:left="4385" w:hanging="360"/>
      </w:pPr>
      <w:rPr>
        <w:rFonts w:ascii="新細明體" w:hAnsi="新細明體" w:hint="default"/>
      </w:rPr>
    </w:lvl>
    <w:lvl w:ilvl="6" w:tplc="14BCAD8A" w:tentative="1">
      <w:start w:val="1"/>
      <w:numFmt w:val="bullet"/>
      <w:lvlText w:val="•"/>
      <w:lvlJc w:val="left"/>
      <w:pPr>
        <w:tabs>
          <w:tab w:val="num" w:pos="5105"/>
        </w:tabs>
        <w:ind w:left="5105" w:hanging="360"/>
      </w:pPr>
      <w:rPr>
        <w:rFonts w:ascii="新細明體" w:hAnsi="新細明體" w:hint="default"/>
      </w:rPr>
    </w:lvl>
    <w:lvl w:ilvl="7" w:tplc="2FB0FDAE" w:tentative="1">
      <w:start w:val="1"/>
      <w:numFmt w:val="bullet"/>
      <w:lvlText w:val="•"/>
      <w:lvlJc w:val="left"/>
      <w:pPr>
        <w:tabs>
          <w:tab w:val="num" w:pos="5825"/>
        </w:tabs>
        <w:ind w:left="5825" w:hanging="360"/>
      </w:pPr>
      <w:rPr>
        <w:rFonts w:ascii="新細明體" w:hAnsi="新細明體" w:hint="default"/>
      </w:rPr>
    </w:lvl>
    <w:lvl w:ilvl="8" w:tplc="AF2800E0" w:tentative="1">
      <w:start w:val="1"/>
      <w:numFmt w:val="bullet"/>
      <w:lvlText w:val="•"/>
      <w:lvlJc w:val="left"/>
      <w:pPr>
        <w:tabs>
          <w:tab w:val="num" w:pos="6545"/>
        </w:tabs>
        <w:ind w:left="6545" w:hanging="360"/>
      </w:pPr>
      <w:rPr>
        <w:rFonts w:ascii="新細明體" w:hAnsi="新細明體" w:hint="default"/>
      </w:rPr>
    </w:lvl>
  </w:abstractNum>
  <w:abstractNum w:abstractNumId="1" w15:restartNumberingAfterBreak="0">
    <w:nsid w:val="03EA4A6C"/>
    <w:multiLevelType w:val="hybridMultilevel"/>
    <w:tmpl w:val="DB1A1960"/>
    <w:lvl w:ilvl="0" w:tplc="662C1A28">
      <w:start w:val="1"/>
      <w:numFmt w:val="upperLetter"/>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5D37568"/>
    <w:multiLevelType w:val="hybridMultilevel"/>
    <w:tmpl w:val="AE28E9D4"/>
    <w:lvl w:ilvl="0" w:tplc="F74C9F44">
      <w:start w:val="1"/>
      <w:numFmt w:val="bullet"/>
      <w:lvlText w:val="•"/>
      <w:lvlJc w:val="left"/>
      <w:pPr>
        <w:tabs>
          <w:tab w:val="num" w:pos="720"/>
        </w:tabs>
        <w:ind w:left="720" w:hanging="360"/>
      </w:pPr>
      <w:rPr>
        <w:rFonts w:ascii="新細明體" w:hAnsi="新細明體" w:hint="default"/>
      </w:rPr>
    </w:lvl>
    <w:lvl w:ilvl="1" w:tplc="976C8B0C" w:tentative="1">
      <w:start w:val="1"/>
      <w:numFmt w:val="bullet"/>
      <w:lvlText w:val="•"/>
      <w:lvlJc w:val="left"/>
      <w:pPr>
        <w:tabs>
          <w:tab w:val="num" w:pos="1440"/>
        </w:tabs>
        <w:ind w:left="1440" w:hanging="360"/>
      </w:pPr>
      <w:rPr>
        <w:rFonts w:ascii="新細明體" w:hAnsi="新細明體" w:hint="default"/>
      </w:rPr>
    </w:lvl>
    <w:lvl w:ilvl="2" w:tplc="CD8C103A" w:tentative="1">
      <w:start w:val="1"/>
      <w:numFmt w:val="bullet"/>
      <w:lvlText w:val="•"/>
      <w:lvlJc w:val="left"/>
      <w:pPr>
        <w:tabs>
          <w:tab w:val="num" w:pos="2160"/>
        </w:tabs>
        <w:ind w:left="2160" w:hanging="360"/>
      </w:pPr>
      <w:rPr>
        <w:rFonts w:ascii="新細明體" w:hAnsi="新細明體" w:hint="default"/>
      </w:rPr>
    </w:lvl>
    <w:lvl w:ilvl="3" w:tplc="BE60EF4C" w:tentative="1">
      <w:start w:val="1"/>
      <w:numFmt w:val="bullet"/>
      <w:lvlText w:val="•"/>
      <w:lvlJc w:val="left"/>
      <w:pPr>
        <w:tabs>
          <w:tab w:val="num" w:pos="2880"/>
        </w:tabs>
        <w:ind w:left="2880" w:hanging="360"/>
      </w:pPr>
      <w:rPr>
        <w:rFonts w:ascii="新細明體" w:hAnsi="新細明體" w:hint="default"/>
      </w:rPr>
    </w:lvl>
    <w:lvl w:ilvl="4" w:tplc="DB0ACEAA" w:tentative="1">
      <w:start w:val="1"/>
      <w:numFmt w:val="bullet"/>
      <w:lvlText w:val="•"/>
      <w:lvlJc w:val="left"/>
      <w:pPr>
        <w:tabs>
          <w:tab w:val="num" w:pos="3600"/>
        </w:tabs>
        <w:ind w:left="3600" w:hanging="360"/>
      </w:pPr>
      <w:rPr>
        <w:rFonts w:ascii="新細明體" w:hAnsi="新細明體" w:hint="default"/>
      </w:rPr>
    </w:lvl>
    <w:lvl w:ilvl="5" w:tplc="0C741204" w:tentative="1">
      <w:start w:val="1"/>
      <w:numFmt w:val="bullet"/>
      <w:lvlText w:val="•"/>
      <w:lvlJc w:val="left"/>
      <w:pPr>
        <w:tabs>
          <w:tab w:val="num" w:pos="4320"/>
        </w:tabs>
        <w:ind w:left="4320" w:hanging="360"/>
      </w:pPr>
      <w:rPr>
        <w:rFonts w:ascii="新細明體" w:hAnsi="新細明體" w:hint="default"/>
      </w:rPr>
    </w:lvl>
    <w:lvl w:ilvl="6" w:tplc="6C6844EA" w:tentative="1">
      <w:start w:val="1"/>
      <w:numFmt w:val="bullet"/>
      <w:lvlText w:val="•"/>
      <w:lvlJc w:val="left"/>
      <w:pPr>
        <w:tabs>
          <w:tab w:val="num" w:pos="5040"/>
        </w:tabs>
        <w:ind w:left="5040" w:hanging="360"/>
      </w:pPr>
      <w:rPr>
        <w:rFonts w:ascii="新細明體" w:hAnsi="新細明體" w:hint="default"/>
      </w:rPr>
    </w:lvl>
    <w:lvl w:ilvl="7" w:tplc="412A5306" w:tentative="1">
      <w:start w:val="1"/>
      <w:numFmt w:val="bullet"/>
      <w:lvlText w:val="•"/>
      <w:lvlJc w:val="left"/>
      <w:pPr>
        <w:tabs>
          <w:tab w:val="num" w:pos="5760"/>
        </w:tabs>
        <w:ind w:left="5760" w:hanging="360"/>
      </w:pPr>
      <w:rPr>
        <w:rFonts w:ascii="新細明體" w:hAnsi="新細明體" w:hint="default"/>
      </w:rPr>
    </w:lvl>
    <w:lvl w:ilvl="8" w:tplc="774C3ED4" w:tentative="1">
      <w:start w:val="1"/>
      <w:numFmt w:val="bullet"/>
      <w:lvlText w:val="•"/>
      <w:lvlJc w:val="left"/>
      <w:pPr>
        <w:tabs>
          <w:tab w:val="num" w:pos="6480"/>
        </w:tabs>
        <w:ind w:left="6480" w:hanging="360"/>
      </w:pPr>
      <w:rPr>
        <w:rFonts w:ascii="新細明體" w:hAnsi="新細明體" w:hint="default"/>
      </w:rPr>
    </w:lvl>
  </w:abstractNum>
  <w:abstractNum w:abstractNumId="3" w15:restartNumberingAfterBreak="0">
    <w:nsid w:val="1747338D"/>
    <w:multiLevelType w:val="hybridMultilevel"/>
    <w:tmpl w:val="BF92F16A"/>
    <w:lvl w:ilvl="0" w:tplc="19D20E6E">
      <w:start w:val="1"/>
      <w:numFmt w:val="bullet"/>
      <w:lvlText w:val="•"/>
      <w:lvlJc w:val="left"/>
      <w:pPr>
        <w:tabs>
          <w:tab w:val="num" w:pos="785"/>
        </w:tabs>
        <w:ind w:left="785" w:hanging="360"/>
      </w:pPr>
      <w:rPr>
        <w:rFonts w:ascii="新細明體" w:hAnsi="新細明體" w:hint="default"/>
      </w:rPr>
    </w:lvl>
    <w:lvl w:ilvl="1" w:tplc="D1380B88" w:tentative="1">
      <w:start w:val="1"/>
      <w:numFmt w:val="bullet"/>
      <w:lvlText w:val="•"/>
      <w:lvlJc w:val="left"/>
      <w:pPr>
        <w:tabs>
          <w:tab w:val="num" w:pos="1505"/>
        </w:tabs>
        <w:ind w:left="1505" w:hanging="360"/>
      </w:pPr>
      <w:rPr>
        <w:rFonts w:ascii="新細明體" w:hAnsi="新細明體" w:hint="default"/>
      </w:rPr>
    </w:lvl>
    <w:lvl w:ilvl="2" w:tplc="DB8C058A" w:tentative="1">
      <w:start w:val="1"/>
      <w:numFmt w:val="bullet"/>
      <w:lvlText w:val="•"/>
      <w:lvlJc w:val="left"/>
      <w:pPr>
        <w:tabs>
          <w:tab w:val="num" w:pos="2225"/>
        </w:tabs>
        <w:ind w:left="2225" w:hanging="360"/>
      </w:pPr>
      <w:rPr>
        <w:rFonts w:ascii="新細明體" w:hAnsi="新細明體" w:hint="default"/>
      </w:rPr>
    </w:lvl>
    <w:lvl w:ilvl="3" w:tplc="CC6604DA" w:tentative="1">
      <w:start w:val="1"/>
      <w:numFmt w:val="bullet"/>
      <w:lvlText w:val="•"/>
      <w:lvlJc w:val="left"/>
      <w:pPr>
        <w:tabs>
          <w:tab w:val="num" w:pos="2945"/>
        </w:tabs>
        <w:ind w:left="2945" w:hanging="360"/>
      </w:pPr>
      <w:rPr>
        <w:rFonts w:ascii="新細明體" w:hAnsi="新細明體" w:hint="default"/>
      </w:rPr>
    </w:lvl>
    <w:lvl w:ilvl="4" w:tplc="6180CCC0" w:tentative="1">
      <w:start w:val="1"/>
      <w:numFmt w:val="bullet"/>
      <w:lvlText w:val="•"/>
      <w:lvlJc w:val="left"/>
      <w:pPr>
        <w:tabs>
          <w:tab w:val="num" w:pos="3665"/>
        </w:tabs>
        <w:ind w:left="3665" w:hanging="360"/>
      </w:pPr>
      <w:rPr>
        <w:rFonts w:ascii="新細明體" w:hAnsi="新細明體" w:hint="default"/>
      </w:rPr>
    </w:lvl>
    <w:lvl w:ilvl="5" w:tplc="8BE0B372" w:tentative="1">
      <w:start w:val="1"/>
      <w:numFmt w:val="bullet"/>
      <w:lvlText w:val="•"/>
      <w:lvlJc w:val="left"/>
      <w:pPr>
        <w:tabs>
          <w:tab w:val="num" w:pos="4385"/>
        </w:tabs>
        <w:ind w:left="4385" w:hanging="360"/>
      </w:pPr>
      <w:rPr>
        <w:rFonts w:ascii="新細明體" w:hAnsi="新細明體" w:hint="default"/>
      </w:rPr>
    </w:lvl>
    <w:lvl w:ilvl="6" w:tplc="D17ADA96" w:tentative="1">
      <w:start w:val="1"/>
      <w:numFmt w:val="bullet"/>
      <w:lvlText w:val="•"/>
      <w:lvlJc w:val="left"/>
      <w:pPr>
        <w:tabs>
          <w:tab w:val="num" w:pos="5105"/>
        </w:tabs>
        <w:ind w:left="5105" w:hanging="360"/>
      </w:pPr>
      <w:rPr>
        <w:rFonts w:ascii="新細明體" w:hAnsi="新細明體" w:hint="default"/>
      </w:rPr>
    </w:lvl>
    <w:lvl w:ilvl="7" w:tplc="2C6A3284" w:tentative="1">
      <w:start w:val="1"/>
      <w:numFmt w:val="bullet"/>
      <w:lvlText w:val="•"/>
      <w:lvlJc w:val="left"/>
      <w:pPr>
        <w:tabs>
          <w:tab w:val="num" w:pos="5825"/>
        </w:tabs>
        <w:ind w:left="5825" w:hanging="360"/>
      </w:pPr>
      <w:rPr>
        <w:rFonts w:ascii="新細明體" w:hAnsi="新細明體" w:hint="default"/>
      </w:rPr>
    </w:lvl>
    <w:lvl w:ilvl="8" w:tplc="626887A4" w:tentative="1">
      <w:start w:val="1"/>
      <w:numFmt w:val="bullet"/>
      <w:lvlText w:val="•"/>
      <w:lvlJc w:val="left"/>
      <w:pPr>
        <w:tabs>
          <w:tab w:val="num" w:pos="6545"/>
        </w:tabs>
        <w:ind w:left="6545" w:hanging="360"/>
      </w:pPr>
      <w:rPr>
        <w:rFonts w:ascii="新細明體" w:hAnsi="新細明體" w:hint="default"/>
      </w:rPr>
    </w:lvl>
  </w:abstractNum>
  <w:abstractNum w:abstractNumId="4" w15:restartNumberingAfterBreak="0">
    <w:nsid w:val="27337A56"/>
    <w:multiLevelType w:val="hybridMultilevel"/>
    <w:tmpl w:val="FCF02268"/>
    <w:lvl w:ilvl="0" w:tplc="43463F14">
      <w:start w:val="1"/>
      <w:numFmt w:val="bullet"/>
      <w:lvlText w:val="•"/>
      <w:lvlJc w:val="left"/>
      <w:pPr>
        <w:tabs>
          <w:tab w:val="num" w:pos="720"/>
        </w:tabs>
        <w:ind w:left="720" w:hanging="360"/>
      </w:pPr>
      <w:rPr>
        <w:rFonts w:ascii="新細明體" w:hAnsi="新細明體" w:hint="default"/>
      </w:rPr>
    </w:lvl>
    <w:lvl w:ilvl="1" w:tplc="50DC5E70" w:tentative="1">
      <w:start w:val="1"/>
      <w:numFmt w:val="bullet"/>
      <w:lvlText w:val="•"/>
      <w:lvlJc w:val="left"/>
      <w:pPr>
        <w:tabs>
          <w:tab w:val="num" w:pos="1440"/>
        </w:tabs>
        <w:ind w:left="1440" w:hanging="360"/>
      </w:pPr>
      <w:rPr>
        <w:rFonts w:ascii="新細明體" w:hAnsi="新細明體" w:hint="default"/>
      </w:rPr>
    </w:lvl>
    <w:lvl w:ilvl="2" w:tplc="48320572" w:tentative="1">
      <w:start w:val="1"/>
      <w:numFmt w:val="bullet"/>
      <w:lvlText w:val="•"/>
      <w:lvlJc w:val="left"/>
      <w:pPr>
        <w:tabs>
          <w:tab w:val="num" w:pos="2160"/>
        </w:tabs>
        <w:ind w:left="2160" w:hanging="360"/>
      </w:pPr>
      <w:rPr>
        <w:rFonts w:ascii="新細明體" w:hAnsi="新細明體" w:hint="default"/>
      </w:rPr>
    </w:lvl>
    <w:lvl w:ilvl="3" w:tplc="41025530" w:tentative="1">
      <w:start w:val="1"/>
      <w:numFmt w:val="bullet"/>
      <w:lvlText w:val="•"/>
      <w:lvlJc w:val="left"/>
      <w:pPr>
        <w:tabs>
          <w:tab w:val="num" w:pos="2880"/>
        </w:tabs>
        <w:ind w:left="2880" w:hanging="360"/>
      </w:pPr>
      <w:rPr>
        <w:rFonts w:ascii="新細明體" w:hAnsi="新細明體" w:hint="default"/>
      </w:rPr>
    </w:lvl>
    <w:lvl w:ilvl="4" w:tplc="983224DE" w:tentative="1">
      <w:start w:val="1"/>
      <w:numFmt w:val="bullet"/>
      <w:lvlText w:val="•"/>
      <w:lvlJc w:val="left"/>
      <w:pPr>
        <w:tabs>
          <w:tab w:val="num" w:pos="3600"/>
        </w:tabs>
        <w:ind w:left="3600" w:hanging="360"/>
      </w:pPr>
      <w:rPr>
        <w:rFonts w:ascii="新細明體" w:hAnsi="新細明體" w:hint="default"/>
      </w:rPr>
    </w:lvl>
    <w:lvl w:ilvl="5" w:tplc="9F585B32" w:tentative="1">
      <w:start w:val="1"/>
      <w:numFmt w:val="bullet"/>
      <w:lvlText w:val="•"/>
      <w:lvlJc w:val="left"/>
      <w:pPr>
        <w:tabs>
          <w:tab w:val="num" w:pos="4320"/>
        </w:tabs>
        <w:ind w:left="4320" w:hanging="360"/>
      </w:pPr>
      <w:rPr>
        <w:rFonts w:ascii="新細明體" w:hAnsi="新細明體" w:hint="default"/>
      </w:rPr>
    </w:lvl>
    <w:lvl w:ilvl="6" w:tplc="2A8A3D88" w:tentative="1">
      <w:start w:val="1"/>
      <w:numFmt w:val="bullet"/>
      <w:lvlText w:val="•"/>
      <w:lvlJc w:val="left"/>
      <w:pPr>
        <w:tabs>
          <w:tab w:val="num" w:pos="5040"/>
        </w:tabs>
        <w:ind w:left="5040" w:hanging="360"/>
      </w:pPr>
      <w:rPr>
        <w:rFonts w:ascii="新細明體" w:hAnsi="新細明體" w:hint="default"/>
      </w:rPr>
    </w:lvl>
    <w:lvl w:ilvl="7" w:tplc="FC7811C6" w:tentative="1">
      <w:start w:val="1"/>
      <w:numFmt w:val="bullet"/>
      <w:lvlText w:val="•"/>
      <w:lvlJc w:val="left"/>
      <w:pPr>
        <w:tabs>
          <w:tab w:val="num" w:pos="5760"/>
        </w:tabs>
        <w:ind w:left="5760" w:hanging="360"/>
      </w:pPr>
      <w:rPr>
        <w:rFonts w:ascii="新細明體" w:hAnsi="新細明體" w:hint="default"/>
      </w:rPr>
    </w:lvl>
    <w:lvl w:ilvl="8" w:tplc="155A91E2" w:tentative="1">
      <w:start w:val="1"/>
      <w:numFmt w:val="bullet"/>
      <w:lvlText w:val="•"/>
      <w:lvlJc w:val="left"/>
      <w:pPr>
        <w:tabs>
          <w:tab w:val="num" w:pos="6480"/>
        </w:tabs>
        <w:ind w:left="6480" w:hanging="360"/>
      </w:pPr>
      <w:rPr>
        <w:rFonts w:ascii="新細明體" w:hAnsi="新細明體" w:hint="default"/>
      </w:rPr>
    </w:lvl>
  </w:abstractNum>
  <w:abstractNum w:abstractNumId="5" w15:restartNumberingAfterBreak="0">
    <w:nsid w:val="2CCD7DA3"/>
    <w:multiLevelType w:val="hybridMultilevel"/>
    <w:tmpl w:val="35A2D0A4"/>
    <w:lvl w:ilvl="0" w:tplc="E244F0C2">
      <w:start w:val="1"/>
      <w:numFmt w:val="bullet"/>
      <w:lvlText w:val="•"/>
      <w:lvlJc w:val="left"/>
      <w:pPr>
        <w:tabs>
          <w:tab w:val="num" w:pos="720"/>
        </w:tabs>
        <w:ind w:left="720" w:hanging="360"/>
      </w:pPr>
      <w:rPr>
        <w:rFonts w:ascii="新細明體" w:hAnsi="新細明體" w:hint="default"/>
      </w:rPr>
    </w:lvl>
    <w:lvl w:ilvl="1" w:tplc="F6A24F24" w:tentative="1">
      <w:start w:val="1"/>
      <w:numFmt w:val="bullet"/>
      <w:lvlText w:val="•"/>
      <w:lvlJc w:val="left"/>
      <w:pPr>
        <w:tabs>
          <w:tab w:val="num" w:pos="1440"/>
        </w:tabs>
        <w:ind w:left="1440" w:hanging="360"/>
      </w:pPr>
      <w:rPr>
        <w:rFonts w:ascii="新細明體" w:hAnsi="新細明體" w:hint="default"/>
      </w:rPr>
    </w:lvl>
    <w:lvl w:ilvl="2" w:tplc="8CB22E58" w:tentative="1">
      <w:start w:val="1"/>
      <w:numFmt w:val="bullet"/>
      <w:lvlText w:val="•"/>
      <w:lvlJc w:val="left"/>
      <w:pPr>
        <w:tabs>
          <w:tab w:val="num" w:pos="2160"/>
        </w:tabs>
        <w:ind w:left="2160" w:hanging="360"/>
      </w:pPr>
      <w:rPr>
        <w:rFonts w:ascii="新細明體" w:hAnsi="新細明體" w:hint="default"/>
      </w:rPr>
    </w:lvl>
    <w:lvl w:ilvl="3" w:tplc="3DB23736" w:tentative="1">
      <w:start w:val="1"/>
      <w:numFmt w:val="bullet"/>
      <w:lvlText w:val="•"/>
      <w:lvlJc w:val="left"/>
      <w:pPr>
        <w:tabs>
          <w:tab w:val="num" w:pos="2880"/>
        </w:tabs>
        <w:ind w:left="2880" w:hanging="360"/>
      </w:pPr>
      <w:rPr>
        <w:rFonts w:ascii="新細明體" w:hAnsi="新細明體" w:hint="default"/>
      </w:rPr>
    </w:lvl>
    <w:lvl w:ilvl="4" w:tplc="6B5E60D4" w:tentative="1">
      <w:start w:val="1"/>
      <w:numFmt w:val="bullet"/>
      <w:lvlText w:val="•"/>
      <w:lvlJc w:val="left"/>
      <w:pPr>
        <w:tabs>
          <w:tab w:val="num" w:pos="3600"/>
        </w:tabs>
        <w:ind w:left="3600" w:hanging="360"/>
      </w:pPr>
      <w:rPr>
        <w:rFonts w:ascii="新細明體" w:hAnsi="新細明體" w:hint="default"/>
      </w:rPr>
    </w:lvl>
    <w:lvl w:ilvl="5" w:tplc="1DBAF416" w:tentative="1">
      <w:start w:val="1"/>
      <w:numFmt w:val="bullet"/>
      <w:lvlText w:val="•"/>
      <w:lvlJc w:val="left"/>
      <w:pPr>
        <w:tabs>
          <w:tab w:val="num" w:pos="4320"/>
        </w:tabs>
        <w:ind w:left="4320" w:hanging="360"/>
      </w:pPr>
      <w:rPr>
        <w:rFonts w:ascii="新細明體" w:hAnsi="新細明體" w:hint="default"/>
      </w:rPr>
    </w:lvl>
    <w:lvl w:ilvl="6" w:tplc="B46C0148" w:tentative="1">
      <w:start w:val="1"/>
      <w:numFmt w:val="bullet"/>
      <w:lvlText w:val="•"/>
      <w:lvlJc w:val="left"/>
      <w:pPr>
        <w:tabs>
          <w:tab w:val="num" w:pos="5040"/>
        </w:tabs>
        <w:ind w:left="5040" w:hanging="360"/>
      </w:pPr>
      <w:rPr>
        <w:rFonts w:ascii="新細明體" w:hAnsi="新細明體" w:hint="default"/>
      </w:rPr>
    </w:lvl>
    <w:lvl w:ilvl="7" w:tplc="A3FA50D2" w:tentative="1">
      <w:start w:val="1"/>
      <w:numFmt w:val="bullet"/>
      <w:lvlText w:val="•"/>
      <w:lvlJc w:val="left"/>
      <w:pPr>
        <w:tabs>
          <w:tab w:val="num" w:pos="5760"/>
        </w:tabs>
        <w:ind w:left="5760" w:hanging="360"/>
      </w:pPr>
      <w:rPr>
        <w:rFonts w:ascii="新細明體" w:hAnsi="新細明體" w:hint="default"/>
      </w:rPr>
    </w:lvl>
    <w:lvl w:ilvl="8" w:tplc="D7963A3A"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30A74387"/>
    <w:multiLevelType w:val="hybridMultilevel"/>
    <w:tmpl w:val="5412A45C"/>
    <w:lvl w:ilvl="0" w:tplc="FB9888B6">
      <w:start w:val="1"/>
      <w:numFmt w:val="upperLetter"/>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3AD23763"/>
    <w:multiLevelType w:val="hybridMultilevel"/>
    <w:tmpl w:val="6456D810"/>
    <w:lvl w:ilvl="0" w:tplc="14DEC85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B95124E"/>
    <w:multiLevelType w:val="hybridMultilevel"/>
    <w:tmpl w:val="DCD43610"/>
    <w:lvl w:ilvl="0" w:tplc="298680F0">
      <w:start w:val="1"/>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597161"/>
    <w:multiLevelType w:val="hybridMultilevel"/>
    <w:tmpl w:val="F00EF882"/>
    <w:lvl w:ilvl="0" w:tplc="5614BD70">
      <w:start w:val="1"/>
      <w:numFmt w:val="bullet"/>
      <w:lvlText w:val="•"/>
      <w:lvlJc w:val="left"/>
      <w:pPr>
        <w:tabs>
          <w:tab w:val="num" w:pos="720"/>
        </w:tabs>
        <w:ind w:left="720" w:hanging="360"/>
      </w:pPr>
      <w:rPr>
        <w:rFonts w:ascii="新細明體" w:hAnsi="新細明體" w:hint="default"/>
      </w:rPr>
    </w:lvl>
    <w:lvl w:ilvl="1" w:tplc="145C6A90" w:tentative="1">
      <w:start w:val="1"/>
      <w:numFmt w:val="bullet"/>
      <w:lvlText w:val="•"/>
      <w:lvlJc w:val="left"/>
      <w:pPr>
        <w:tabs>
          <w:tab w:val="num" w:pos="1440"/>
        </w:tabs>
        <w:ind w:left="1440" w:hanging="360"/>
      </w:pPr>
      <w:rPr>
        <w:rFonts w:ascii="新細明體" w:hAnsi="新細明體" w:hint="default"/>
      </w:rPr>
    </w:lvl>
    <w:lvl w:ilvl="2" w:tplc="8252FB36" w:tentative="1">
      <w:start w:val="1"/>
      <w:numFmt w:val="bullet"/>
      <w:lvlText w:val="•"/>
      <w:lvlJc w:val="left"/>
      <w:pPr>
        <w:tabs>
          <w:tab w:val="num" w:pos="2160"/>
        </w:tabs>
        <w:ind w:left="2160" w:hanging="360"/>
      </w:pPr>
      <w:rPr>
        <w:rFonts w:ascii="新細明體" w:hAnsi="新細明體" w:hint="default"/>
      </w:rPr>
    </w:lvl>
    <w:lvl w:ilvl="3" w:tplc="FB5818D4" w:tentative="1">
      <w:start w:val="1"/>
      <w:numFmt w:val="bullet"/>
      <w:lvlText w:val="•"/>
      <w:lvlJc w:val="left"/>
      <w:pPr>
        <w:tabs>
          <w:tab w:val="num" w:pos="2880"/>
        </w:tabs>
        <w:ind w:left="2880" w:hanging="360"/>
      </w:pPr>
      <w:rPr>
        <w:rFonts w:ascii="新細明體" w:hAnsi="新細明體" w:hint="default"/>
      </w:rPr>
    </w:lvl>
    <w:lvl w:ilvl="4" w:tplc="CD608D98" w:tentative="1">
      <w:start w:val="1"/>
      <w:numFmt w:val="bullet"/>
      <w:lvlText w:val="•"/>
      <w:lvlJc w:val="left"/>
      <w:pPr>
        <w:tabs>
          <w:tab w:val="num" w:pos="3600"/>
        </w:tabs>
        <w:ind w:left="3600" w:hanging="360"/>
      </w:pPr>
      <w:rPr>
        <w:rFonts w:ascii="新細明體" w:hAnsi="新細明體" w:hint="default"/>
      </w:rPr>
    </w:lvl>
    <w:lvl w:ilvl="5" w:tplc="70C21EE2" w:tentative="1">
      <w:start w:val="1"/>
      <w:numFmt w:val="bullet"/>
      <w:lvlText w:val="•"/>
      <w:lvlJc w:val="left"/>
      <w:pPr>
        <w:tabs>
          <w:tab w:val="num" w:pos="4320"/>
        </w:tabs>
        <w:ind w:left="4320" w:hanging="360"/>
      </w:pPr>
      <w:rPr>
        <w:rFonts w:ascii="新細明體" w:hAnsi="新細明體" w:hint="default"/>
      </w:rPr>
    </w:lvl>
    <w:lvl w:ilvl="6" w:tplc="4B3A54FA" w:tentative="1">
      <w:start w:val="1"/>
      <w:numFmt w:val="bullet"/>
      <w:lvlText w:val="•"/>
      <w:lvlJc w:val="left"/>
      <w:pPr>
        <w:tabs>
          <w:tab w:val="num" w:pos="5040"/>
        </w:tabs>
        <w:ind w:left="5040" w:hanging="360"/>
      </w:pPr>
      <w:rPr>
        <w:rFonts w:ascii="新細明體" w:hAnsi="新細明體" w:hint="default"/>
      </w:rPr>
    </w:lvl>
    <w:lvl w:ilvl="7" w:tplc="6B6A431A" w:tentative="1">
      <w:start w:val="1"/>
      <w:numFmt w:val="bullet"/>
      <w:lvlText w:val="•"/>
      <w:lvlJc w:val="left"/>
      <w:pPr>
        <w:tabs>
          <w:tab w:val="num" w:pos="5760"/>
        </w:tabs>
        <w:ind w:left="5760" w:hanging="360"/>
      </w:pPr>
      <w:rPr>
        <w:rFonts w:ascii="新細明體" w:hAnsi="新細明體" w:hint="default"/>
      </w:rPr>
    </w:lvl>
    <w:lvl w:ilvl="8" w:tplc="A3766FF2" w:tentative="1">
      <w:start w:val="1"/>
      <w:numFmt w:val="bullet"/>
      <w:lvlText w:val="•"/>
      <w:lvlJc w:val="left"/>
      <w:pPr>
        <w:tabs>
          <w:tab w:val="num" w:pos="6480"/>
        </w:tabs>
        <w:ind w:left="6480" w:hanging="360"/>
      </w:pPr>
      <w:rPr>
        <w:rFonts w:ascii="新細明體" w:hAnsi="新細明體" w:hint="default"/>
      </w:rPr>
    </w:lvl>
  </w:abstractNum>
  <w:abstractNum w:abstractNumId="10" w15:restartNumberingAfterBreak="0">
    <w:nsid w:val="3C8D37D8"/>
    <w:multiLevelType w:val="hybridMultilevel"/>
    <w:tmpl w:val="47FA8F68"/>
    <w:lvl w:ilvl="0" w:tplc="2B64FDEA">
      <w:start w:val="1"/>
      <w:numFmt w:val="bullet"/>
      <w:lvlText w:val="•"/>
      <w:lvlJc w:val="left"/>
      <w:pPr>
        <w:tabs>
          <w:tab w:val="num" w:pos="720"/>
        </w:tabs>
        <w:ind w:left="720" w:hanging="360"/>
      </w:pPr>
      <w:rPr>
        <w:rFonts w:ascii="新細明體" w:hAnsi="新細明體" w:hint="default"/>
      </w:rPr>
    </w:lvl>
    <w:lvl w:ilvl="1" w:tplc="ADC62BB2" w:tentative="1">
      <w:start w:val="1"/>
      <w:numFmt w:val="bullet"/>
      <w:lvlText w:val="•"/>
      <w:lvlJc w:val="left"/>
      <w:pPr>
        <w:tabs>
          <w:tab w:val="num" w:pos="1440"/>
        </w:tabs>
        <w:ind w:left="1440" w:hanging="360"/>
      </w:pPr>
      <w:rPr>
        <w:rFonts w:ascii="新細明體" w:hAnsi="新細明體" w:hint="default"/>
      </w:rPr>
    </w:lvl>
    <w:lvl w:ilvl="2" w:tplc="AD70287C" w:tentative="1">
      <w:start w:val="1"/>
      <w:numFmt w:val="bullet"/>
      <w:lvlText w:val="•"/>
      <w:lvlJc w:val="left"/>
      <w:pPr>
        <w:tabs>
          <w:tab w:val="num" w:pos="2160"/>
        </w:tabs>
        <w:ind w:left="2160" w:hanging="360"/>
      </w:pPr>
      <w:rPr>
        <w:rFonts w:ascii="新細明體" w:hAnsi="新細明體" w:hint="default"/>
      </w:rPr>
    </w:lvl>
    <w:lvl w:ilvl="3" w:tplc="A8323A62" w:tentative="1">
      <w:start w:val="1"/>
      <w:numFmt w:val="bullet"/>
      <w:lvlText w:val="•"/>
      <w:lvlJc w:val="left"/>
      <w:pPr>
        <w:tabs>
          <w:tab w:val="num" w:pos="2880"/>
        </w:tabs>
        <w:ind w:left="2880" w:hanging="360"/>
      </w:pPr>
      <w:rPr>
        <w:rFonts w:ascii="新細明體" w:hAnsi="新細明體" w:hint="default"/>
      </w:rPr>
    </w:lvl>
    <w:lvl w:ilvl="4" w:tplc="41CA4E7A" w:tentative="1">
      <w:start w:val="1"/>
      <w:numFmt w:val="bullet"/>
      <w:lvlText w:val="•"/>
      <w:lvlJc w:val="left"/>
      <w:pPr>
        <w:tabs>
          <w:tab w:val="num" w:pos="3600"/>
        </w:tabs>
        <w:ind w:left="3600" w:hanging="360"/>
      </w:pPr>
      <w:rPr>
        <w:rFonts w:ascii="新細明體" w:hAnsi="新細明體" w:hint="default"/>
      </w:rPr>
    </w:lvl>
    <w:lvl w:ilvl="5" w:tplc="1A34BB0E" w:tentative="1">
      <w:start w:val="1"/>
      <w:numFmt w:val="bullet"/>
      <w:lvlText w:val="•"/>
      <w:lvlJc w:val="left"/>
      <w:pPr>
        <w:tabs>
          <w:tab w:val="num" w:pos="4320"/>
        </w:tabs>
        <w:ind w:left="4320" w:hanging="360"/>
      </w:pPr>
      <w:rPr>
        <w:rFonts w:ascii="新細明體" w:hAnsi="新細明體" w:hint="default"/>
      </w:rPr>
    </w:lvl>
    <w:lvl w:ilvl="6" w:tplc="A01E149A" w:tentative="1">
      <w:start w:val="1"/>
      <w:numFmt w:val="bullet"/>
      <w:lvlText w:val="•"/>
      <w:lvlJc w:val="left"/>
      <w:pPr>
        <w:tabs>
          <w:tab w:val="num" w:pos="5040"/>
        </w:tabs>
        <w:ind w:left="5040" w:hanging="360"/>
      </w:pPr>
      <w:rPr>
        <w:rFonts w:ascii="新細明體" w:hAnsi="新細明體" w:hint="default"/>
      </w:rPr>
    </w:lvl>
    <w:lvl w:ilvl="7" w:tplc="B1022F9A" w:tentative="1">
      <w:start w:val="1"/>
      <w:numFmt w:val="bullet"/>
      <w:lvlText w:val="•"/>
      <w:lvlJc w:val="left"/>
      <w:pPr>
        <w:tabs>
          <w:tab w:val="num" w:pos="5760"/>
        </w:tabs>
        <w:ind w:left="5760" w:hanging="360"/>
      </w:pPr>
      <w:rPr>
        <w:rFonts w:ascii="新細明體" w:hAnsi="新細明體" w:hint="default"/>
      </w:rPr>
    </w:lvl>
    <w:lvl w:ilvl="8" w:tplc="AA16AFBC" w:tentative="1">
      <w:start w:val="1"/>
      <w:numFmt w:val="bullet"/>
      <w:lvlText w:val="•"/>
      <w:lvlJc w:val="left"/>
      <w:pPr>
        <w:tabs>
          <w:tab w:val="num" w:pos="6480"/>
        </w:tabs>
        <w:ind w:left="6480" w:hanging="360"/>
      </w:pPr>
      <w:rPr>
        <w:rFonts w:ascii="新細明體" w:hAnsi="新細明體" w:hint="default"/>
      </w:rPr>
    </w:lvl>
  </w:abstractNum>
  <w:abstractNum w:abstractNumId="11" w15:restartNumberingAfterBreak="0">
    <w:nsid w:val="43345D71"/>
    <w:multiLevelType w:val="hybridMultilevel"/>
    <w:tmpl w:val="0A606132"/>
    <w:lvl w:ilvl="0" w:tplc="1130D3E0">
      <w:start w:val="1"/>
      <w:numFmt w:val="bullet"/>
      <w:lvlText w:val="•"/>
      <w:lvlJc w:val="left"/>
      <w:pPr>
        <w:tabs>
          <w:tab w:val="num" w:pos="720"/>
        </w:tabs>
        <w:ind w:left="720" w:hanging="360"/>
      </w:pPr>
      <w:rPr>
        <w:rFonts w:ascii="新細明體" w:hAnsi="新細明體" w:hint="default"/>
      </w:rPr>
    </w:lvl>
    <w:lvl w:ilvl="1" w:tplc="B33821BE" w:tentative="1">
      <w:start w:val="1"/>
      <w:numFmt w:val="bullet"/>
      <w:lvlText w:val="•"/>
      <w:lvlJc w:val="left"/>
      <w:pPr>
        <w:tabs>
          <w:tab w:val="num" w:pos="1440"/>
        </w:tabs>
        <w:ind w:left="1440" w:hanging="360"/>
      </w:pPr>
      <w:rPr>
        <w:rFonts w:ascii="新細明體" w:hAnsi="新細明體" w:hint="default"/>
      </w:rPr>
    </w:lvl>
    <w:lvl w:ilvl="2" w:tplc="D7C416CC" w:tentative="1">
      <w:start w:val="1"/>
      <w:numFmt w:val="bullet"/>
      <w:lvlText w:val="•"/>
      <w:lvlJc w:val="left"/>
      <w:pPr>
        <w:tabs>
          <w:tab w:val="num" w:pos="2160"/>
        </w:tabs>
        <w:ind w:left="2160" w:hanging="360"/>
      </w:pPr>
      <w:rPr>
        <w:rFonts w:ascii="新細明體" w:hAnsi="新細明體" w:hint="default"/>
      </w:rPr>
    </w:lvl>
    <w:lvl w:ilvl="3" w:tplc="EE48CCE0" w:tentative="1">
      <w:start w:val="1"/>
      <w:numFmt w:val="bullet"/>
      <w:lvlText w:val="•"/>
      <w:lvlJc w:val="left"/>
      <w:pPr>
        <w:tabs>
          <w:tab w:val="num" w:pos="2880"/>
        </w:tabs>
        <w:ind w:left="2880" w:hanging="360"/>
      </w:pPr>
      <w:rPr>
        <w:rFonts w:ascii="新細明體" w:hAnsi="新細明體" w:hint="default"/>
      </w:rPr>
    </w:lvl>
    <w:lvl w:ilvl="4" w:tplc="4600FD32" w:tentative="1">
      <w:start w:val="1"/>
      <w:numFmt w:val="bullet"/>
      <w:lvlText w:val="•"/>
      <w:lvlJc w:val="left"/>
      <w:pPr>
        <w:tabs>
          <w:tab w:val="num" w:pos="3600"/>
        </w:tabs>
        <w:ind w:left="3600" w:hanging="360"/>
      </w:pPr>
      <w:rPr>
        <w:rFonts w:ascii="新細明體" w:hAnsi="新細明體" w:hint="default"/>
      </w:rPr>
    </w:lvl>
    <w:lvl w:ilvl="5" w:tplc="F03E0698" w:tentative="1">
      <w:start w:val="1"/>
      <w:numFmt w:val="bullet"/>
      <w:lvlText w:val="•"/>
      <w:lvlJc w:val="left"/>
      <w:pPr>
        <w:tabs>
          <w:tab w:val="num" w:pos="4320"/>
        </w:tabs>
        <w:ind w:left="4320" w:hanging="360"/>
      </w:pPr>
      <w:rPr>
        <w:rFonts w:ascii="新細明體" w:hAnsi="新細明體" w:hint="default"/>
      </w:rPr>
    </w:lvl>
    <w:lvl w:ilvl="6" w:tplc="5BE01CEE" w:tentative="1">
      <w:start w:val="1"/>
      <w:numFmt w:val="bullet"/>
      <w:lvlText w:val="•"/>
      <w:lvlJc w:val="left"/>
      <w:pPr>
        <w:tabs>
          <w:tab w:val="num" w:pos="5040"/>
        </w:tabs>
        <w:ind w:left="5040" w:hanging="360"/>
      </w:pPr>
      <w:rPr>
        <w:rFonts w:ascii="新細明體" w:hAnsi="新細明體" w:hint="default"/>
      </w:rPr>
    </w:lvl>
    <w:lvl w:ilvl="7" w:tplc="4392AC9E" w:tentative="1">
      <w:start w:val="1"/>
      <w:numFmt w:val="bullet"/>
      <w:lvlText w:val="•"/>
      <w:lvlJc w:val="left"/>
      <w:pPr>
        <w:tabs>
          <w:tab w:val="num" w:pos="5760"/>
        </w:tabs>
        <w:ind w:left="5760" w:hanging="360"/>
      </w:pPr>
      <w:rPr>
        <w:rFonts w:ascii="新細明體" w:hAnsi="新細明體" w:hint="default"/>
      </w:rPr>
    </w:lvl>
    <w:lvl w:ilvl="8" w:tplc="DA30FEAC" w:tentative="1">
      <w:start w:val="1"/>
      <w:numFmt w:val="bullet"/>
      <w:lvlText w:val="•"/>
      <w:lvlJc w:val="left"/>
      <w:pPr>
        <w:tabs>
          <w:tab w:val="num" w:pos="6480"/>
        </w:tabs>
        <w:ind w:left="6480" w:hanging="360"/>
      </w:pPr>
      <w:rPr>
        <w:rFonts w:ascii="新細明體" w:hAnsi="新細明體" w:hint="default"/>
      </w:rPr>
    </w:lvl>
  </w:abstractNum>
  <w:abstractNum w:abstractNumId="12" w15:restartNumberingAfterBreak="0">
    <w:nsid w:val="4B460AF5"/>
    <w:multiLevelType w:val="hybridMultilevel"/>
    <w:tmpl w:val="4274D6D4"/>
    <w:lvl w:ilvl="0" w:tplc="1C3EDC30">
      <w:start w:val="1"/>
      <w:numFmt w:val="bullet"/>
      <w:lvlText w:val="•"/>
      <w:lvlJc w:val="left"/>
      <w:pPr>
        <w:tabs>
          <w:tab w:val="num" w:pos="720"/>
        </w:tabs>
        <w:ind w:left="720" w:hanging="360"/>
      </w:pPr>
      <w:rPr>
        <w:rFonts w:ascii="新細明體" w:hAnsi="新細明體" w:hint="default"/>
      </w:rPr>
    </w:lvl>
    <w:lvl w:ilvl="1" w:tplc="C5C840E6">
      <w:numFmt w:val="none"/>
      <w:lvlText w:val=""/>
      <w:lvlJc w:val="left"/>
      <w:pPr>
        <w:tabs>
          <w:tab w:val="num" w:pos="360"/>
        </w:tabs>
      </w:pPr>
    </w:lvl>
    <w:lvl w:ilvl="2" w:tplc="1BFABE86" w:tentative="1">
      <w:start w:val="1"/>
      <w:numFmt w:val="bullet"/>
      <w:lvlText w:val="•"/>
      <w:lvlJc w:val="left"/>
      <w:pPr>
        <w:tabs>
          <w:tab w:val="num" w:pos="2160"/>
        </w:tabs>
        <w:ind w:left="2160" w:hanging="360"/>
      </w:pPr>
      <w:rPr>
        <w:rFonts w:ascii="新細明體" w:hAnsi="新細明體" w:hint="default"/>
      </w:rPr>
    </w:lvl>
    <w:lvl w:ilvl="3" w:tplc="B588A42C" w:tentative="1">
      <w:start w:val="1"/>
      <w:numFmt w:val="bullet"/>
      <w:lvlText w:val="•"/>
      <w:lvlJc w:val="left"/>
      <w:pPr>
        <w:tabs>
          <w:tab w:val="num" w:pos="2880"/>
        </w:tabs>
        <w:ind w:left="2880" w:hanging="360"/>
      </w:pPr>
      <w:rPr>
        <w:rFonts w:ascii="新細明體" w:hAnsi="新細明體" w:hint="default"/>
      </w:rPr>
    </w:lvl>
    <w:lvl w:ilvl="4" w:tplc="A34C3AAC" w:tentative="1">
      <w:start w:val="1"/>
      <w:numFmt w:val="bullet"/>
      <w:lvlText w:val="•"/>
      <w:lvlJc w:val="left"/>
      <w:pPr>
        <w:tabs>
          <w:tab w:val="num" w:pos="3600"/>
        </w:tabs>
        <w:ind w:left="3600" w:hanging="360"/>
      </w:pPr>
      <w:rPr>
        <w:rFonts w:ascii="新細明體" w:hAnsi="新細明體" w:hint="default"/>
      </w:rPr>
    </w:lvl>
    <w:lvl w:ilvl="5" w:tplc="32BEF5E2" w:tentative="1">
      <w:start w:val="1"/>
      <w:numFmt w:val="bullet"/>
      <w:lvlText w:val="•"/>
      <w:lvlJc w:val="left"/>
      <w:pPr>
        <w:tabs>
          <w:tab w:val="num" w:pos="4320"/>
        </w:tabs>
        <w:ind w:left="4320" w:hanging="360"/>
      </w:pPr>
      <w:rPr>
        <w:rFonts w:ascii="新細明體" w:hAnsi="新細明體" w:hint="default"/>
      </w:rPr>
    </w:lvl>
    <w:lvl w:ilvl="6" w:tplc="A99C3FB6" w:tentative="1">
      <w:start w:val="1"/>
      <w:numFmt w:val="bullet"/>
      <w:lvlText w:val="•"/>
      <w:lvlJc w:val="left"/>
      <w:pPr>
        <w:tabs>
          <w:tab w:val="num" w:pos="5040"/>
        </w:tabs>
        <w:ind w:left="5040" w:hanging="360"/>
      </w:pPr>
      <w:rPr>
        <w:rFonts w:ascii="新細明體" w:hAnsi="新細明體" w:hint="default"/>
      </w:rPr>
    </w:lvl>
    <w:lvl w:ilvl="7" w:tplc="9528870C" w:tentative="1">
      <w:start w:val="1"/>
      <w:numFmt w:val="bullet"/>
      <w:lvlText w:val="•"/>
      <w:lvlJc w:val="left"/>
      <w:pPr>
        <w:tabs>
          <w:tab w:val="num" w:pos="5760"/>
        </w:tabs>
        <w:ind w:left="5760" w:hanging="360"/>
      </w:pPr>
      <w:rPr>
        <w:rFonts w:ascii="新細明體" w:hAnsi="新細明體" w:hint="default"/>
      </w:rPr>
    </w:lvl>
    <w:lvl w:ilvl="8" w:tplc="75604860" w:tentative="1">
      <w:start w:val="1"/>
      <w:numFmt w:val="bullet"/>
      <w:lvlText w:val="•"/>
      <w:lvlJc w:val="left"/>
      <w:pPr>
        <w:tabs>
          <w:tab w:val="num" w:pos="6480"/>
        </w:tabs>
        <w:ind w:left="6480" w:hanging="360"/>
      </w:pPr>
      <w:rPr>
        <w:rFonts w:ascii="新細明體" w:hAnsi="新細明體" w:hint="default"/>
      </w:rPr>
    </w:lvl>
  </w:abstractNum>
  <w:abstractNum w:abstractNumId="13" w15:restartNumberingAfterBreak="0">
    <w:nsid w:val="5779034E"/>
    <w:multiLevelType w:val="hybridMultilevel"/>
    <w:tmpl w:val="C90EB526"/>
    <w:lvl w:ilvl="0" w:tplc="0CE04E42">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307E65"/>
    <w:multiLevelType w:val="hybridMultilevel"/>
    <w:tmpl w:val="812AA6DA"/>
    <w:lvl w:ilvl="0" w:tplc="365CEF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A270FD"/>
    <w:multiLevelType w:val="hybridMultilevel"/>
    <w:tmpl w:val="0C2A2590"/>
    <w:lvl w:ilvl="0" w:tplc="ABEE65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63B568D2"/>
    <w:multiLevelType w:val="hybridMultilevel"/>
    <w:tmpl w:val="3432C7EC"/>
    <w:lvl w:ilvl="0" w:tplc="314EE814">
      <w:start w:val="1"/>
      <w:numFmt w:val="bullet"/>
      <w:lvlText w:val="•"/>
      <w:lvlJc w:val="left"/>
      <w:pPr>
        <w:tabs>
          <w:tab w:val="num" w:pos="720"/>
        </w:tabs>
        <w:ind w:left="720" w:hanging="360"/>
      </w:pPr>
      <w:rPr>
        <w:rFonts w:ascii="新細明體" w:hAnsi="新細明體" w:hint="default"/>
      </w:rPr>
    </w:lvl>
    <w:lvl w:ilvl="1" w:tplc="C6042E7C">
      <w:start w:val="1"/>
      <w:numFmt w:val="bullet"/>
      <w:lvlText w:val="•"/>
      <w:lvlJc w:val="left"/>
      <w:pPr>
        <w:tabs>
          <w:tab w:val="num" w:pos="1440"/>
        </w:tabs>
        <w:ind w:left="1440" w:hanging="360"/>
      </w:pPr>
      <w:rPr>
        <w:rFonts w:ascii="新細明體" w:hAnsi="新細明體" w:hint="default"/>
      </w:rPr>
    </w:lvl>
    <w:lvl w:ilvl="2" w:tplc="C77C9DCC" w:tentative="1">
      <w:start w:val="1"/>
      <w:numFmt w:val="bullet"/>
      <w:lvlText w:val="•"/>
      <w:lvlJc w:val="left"/>
      <w:pPr>
        <w:tabs>
          <w:tab w:val="num" w:pos="2160"/>
        </w:tabs>
        <w:ind w:left="2160" w:hanging="360"/>
      </w:pPr>
      <w:rPr>
        <w:rFonts w:ascii="新細明體" w:hAnsi="新細明體" w:hint="default"/>
      </w:rPr>
    </w:lvl>
    <w:lvl w:ilvl="3" w:tplc="21CC1916" w:tentative="1">
      <w:start w:val="1"/>
      <w:numFmt w:val="bullet"/>
      <w:lvlText w:val="•"/>
      <w:lvlJc w:val="left"/>
      <w:pPr>
        <w:tabs>
          <w:tab w:val="num" w:pos="2880"/>
        </w:tabs>
        <w:ind w:left="2880" w:hanging="360"/>
      </w:pPr>
      <w:rPr>
        <w:rFonts w:ascii="新細明體" w:hAnsi="新細明體" w:hint="default"/>
      </w:rPr>
    </w:lvl>
    <w:lvl w:ilvl="4" w:tplc="BA54ADFA" w:tentative="1">
      <w:start w:val="1"/>
      <w:numFmt w:val="bullet"/>
      <w:lvlText w:val="•"/>
      <w:lvlJc w:val="left"/>
      <w:pPr>
        <w:tabs>
          <w:tab w:val="num" w:pos="3600"/>
        </w:tabs>
        <w:ind w:left="3600" w:hanging="360"/>
      </w:pPr>
      <w:rPr>
        <w:rFonts w:ascii="新細明體" w:hAnsi="新細明體" w:hint="default"/>
      </w:rPr>
    </w:lvl>
    <w:lvl w:ilvl="5" w:tplc="BCAC930E" w:tentative="1">
      <w:start w:val="1"/>
      <w:numFmt w:val="bullet"/>
      <w:lvlText w:val="•"/>
      <w:lvlJc w:val="left"/>
      <w:pPr>
        <w:tabs>
          <w:tab w:val="num" w:pos="4320"/>
        </w:tabs>
        <w:ind w:left="4320" w:hanging="360"/>
      </w:pPr>
      <w:rPr>
        <w:rFonts w:ascii="新細明體" w:hAnsi="新細明體" w:hint="default"/>
      </w:rPr>
    </w:lvl>
    <w:lvl w:ilvl="6" w:tplc="05C6E3C0" w:tentative="1">
      <w:start w:val="1"/>
      <w:numFmt w:val="bullet"/>
      <w:lvlText w:val="•"/>
      <w:lvlJc w:val="left"/>
      <w:pPr>
        <w:tabs>
          <w:tab w:val="num" w:pos="5040"/>
        </w:tabs>
        <w:ind w:left="5040" w:hanging="360"/>
      </w:pPr>
      <w:rPr>
        <w:rFonts w:ascii="新細明體" w:hAnsi="新細明體" w:hint="default"/>
      </w:rPr>
    </w:lvl>
    <w:lvl w:ilvl="7" w:tplc="E05CD9B2" w:tentative="1">
      <w:start w:val="1"/>
      <w:numFmt w:val="bullet"/>
      <w:lvlText w:val="•"/>
      <w:lvlJc w:val="left"/>
      <w:pPr>
        <w:tabs>
          <w:tab w:val="num" w:pos="5760"/>
        </w:tabs>
        <w:ind w:left="5760" w:hanging="360"/>
      </w:pPr>
      <w:rPr>
        <w:rFonts w:ascii="新細明體" w:hAnsi="新細明體" w:hint="default"/>
      </w:rPr>
    </w:lvl>
    <w:lvl w:ilvl="8" w:tplc="0892335A" w:tentative="1">
      <w:start w:val="1"/>
      <w:numFmt w:val="bullet"/>
      <w:lvlText w:val="•"/>
      <w:lvlJc w:val="left"/>
      <w:pPr>
        <w:tabs>
          <w:tab w:val="num" w:pos="6480"/>
        </w:tabs>
        <w:ind w:left="6480" w:hanging="360"/>
      </w:pPr>
      <w:rPr>
        <w:rFonts w:ascii="新細明體" w:hAnsi="新細明體" w:hint="default"/>
      </w:rPr>
    </w:lvl>
  </w:abstractNum>
  <w:abstractNum w:abstractNumId="17" w15:restartNumberingAfterBreak="0">
    <w:nsid w:val="67667F10"/>
    <w:multiLevelType w:val="hybridMultilevel"/>
    <w:tmpl w:val="24E6E49A"/>
    <w:lvl w:ilvl="0" w:tplc="E2C66990">
      <w:start w:val="1"/>
      <w:numFmt w:val="upperLetter"/>
      <w:lvlText w:val="(%1)"/>
      <w:lvlJc w:val="left"/>
      <w:pPr>
        <w:ind w:left="360" w:hanging="360"/>
      </w:pPr>
      <w:rPr>
        <w:rFonts w:ascii="Arial" w:eastAsiaTheme="minorEastAsia" w:hAnsi="Arial" w:cs="Arial" w:hint="default"/>
        <w:color w:val="000000" w:themeColor="text1"/>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7C7163B"/>
    <w:multiLevelType w:val="hybridMultilevel"/>
    <w:tmpl w:val="2D82230C"/>
    <w:lvl w:ilvl="0" w:tplc="04B0567A">
      <w:start w:val="1"/>
      <w:numFmt w:val="bullet"/>
      <w:lvlText w:val="•"/>
      <w:lvlJc w:val="left"/>
      <w:pPr>
        <w:tabs>
          <w:tab w:val="num" w:pos="720"/>
        </w:tabs>
        <w:ind w:left="720" w:hanging="360"/>
      </w:pPr>
      <w:rPr>
        <w:rFonts w:ascii="新細明體" w:hAnsi="新細明體" w:hint="default"/>
      </w:rPr>
    </w:lvl>
    <w:lvl w:ilvl="1" w:tplc="E56AB71E" w:tentative="1">
      <w:start w:val="1"/>
      <w:numFmt w:val="bullet"/>
      <w:lvlText w:val="•"/>
      <w:lvlJc w:val="left"/>
      <w:pPr>
        <w:tabs>
          <w:tab w:val="num" w:pos="1440"/>
        </w:tabs>
        <w:ind w:left="1440" w:hanging="360"/>
      </w:pPr>
      <w:rPr>
        <w:rFonts w:ascii="新細明體" w:hAnsi="新細明體" w:hint="default"/>
      </w:rPr>
    </w:lvl>
    <w:lvl w:ilvl="2" w:tplc="7840AF1C" w:tentative="1">
      <w:start w:val="1"/>
      <w:numFmt w:val="bullet"/>
      <w:lvlText w:val="•"/>
      <w:lvlJc w:val="left"/>
      <w:pPr>
        <w:tabs>
          <w:tab w:val="num" w:pos="2160"/>
        </w:tabs>
        <w:ind w:left="2160" w:hanging="360"/>
      </w:pPr>
      <w:rPr>
        <w:rFonts w:ascii="新細明體" w:hAnsi="新細明體" w:hint="default"/>
      </w:rPr>
    </w:lvl>
    <w:lvl w:ilvl="3" w:tplc="30E4038E" w:tentative="1">
      <w:start w:val="1"/>
      <w:numFmt w:val="bullet"/>
      <w:lvlText w:val="•"/>
      <w:lvlJc w:val="left"/>
      <w:pPr>
        <w:tabs>
          <w:tab w:val="num" w:pos="2880"/>
        </w:tabs>
        <w:ind w:left="2880" w:hanging="360"/>
      </w:pPr>
      <w:rPr>
        <w:rFonts w:ascii="新細明體" w:hAnsi="新細明體" w:hint="default"/>
      </w:rPr>
    </w:lvl>
    <w:lvl w:ilvl="4" w:tplc="B89846E4" w:tentative="1">
      <w:start w:val="1"/>
      <w:numFmt w:val="bullet"/>
      <w:lvlText w:val="•"/>
      <w:lvlJc w:val="left"/>
      <w:pPr>
        <w:tabs>
          <w:tab w:val="num" w:pos="3600"/>
        </w:tabs>
        <w:ind w:left="3600" w:hanging="360"/>
      </w:pPr>
      <w:rPr>
        <w:rFonts w:ascii="新細明體" w:hAnsi="新細明體" w:hint="default"/>
      </w:rPr>
    </w:lvl>
    <w:lvl w:ilvl="5" w:tplc="FF866F7A" w:tentative="1">
      <w:start w:val="1"/>
      <w:numFmt w:val="bullet"/>
      <w:lvlText w:val="•"/>
      <w:lvlJc w:val="left"/>
      <w:pPr>
        <w:tabs>
          <w:tab w:val="num" w:pos="4320"/>
        </w:tabs>
        <w:ind w:left="4320" w:hanging="360"/>
      </w:pPr>
      <w:rPr>
        <w:rFonts w:ascii="新細明體" w:hAnsi="新細明體" w:hint="default"/>
      </w:rPr>
    </w:lvl>
    <w:lvl w:ilvl="6" w:tplc="01B6DB68" w:tentative="1">
      <w:start w:val="1"/>
      <w:numFmt w:val="bullet"/>
      <w:lvlText w:val="•"/>
      <w:lvlJc w:val="left"/>
      <w:pPr>
        <w:tabs>
          <w:tab w:val="num" w:pos="5040"/>
        </w:tabs>
        <w:ind w:left="5040" w:hanging="360"/>
      </w:pPr>
      <w:rPr>
        <w:rFonts w:ascii="新細明體" w:hAnsi="新細明體" w:hint="default"/>
      </w:rPr>
    </w:lvl>
    <w:lvl w:ilvl="7" w:tplc="C914BF18" w:tentative="1">
      <w:start w:val="1"/>
      <w:numFmt w:val="bullet"/>
      <w:lvlText w:val="•"/>
      <w:lvlJc w:val="left"/>
      <w:pPr>
        <w:tabs>
          <w:tab w:val="num" w:pos="5760"/>
        </w:tabs>
        <w:ind w:left="5760" w:hanging="360"/>
      </w:pPr>
      <w:rPr>
        <w:rFonts w:ascii="新細明體" w:hAnsi="新細明體" w:hint="default"/>
      </w:rPr>
    </w:lvl>
    <w:lvl w:ilvl="8" w:tplc="A58A3AE6" w:tentative="1">
      <w:start w:val="1"/>
      <w:numFmt w:val="bullet"/>
      <w:lvlText w:val="•"/>
      <w:lvlJc w:val="left"/>
      <w:pPr>
        <w:tabs>
          <w:tab w:val="num" w:pos="6480"/>
        </w:tabs>
        <w:ind w:left="6480" w:hanging="360"/>
      </w:pPr>
      <w:rPr>
        <w:rFonts w:ascii="新細明體" w:hAnsi="新細明體" w:hint="default"/>
      </w:rPr>
    </w:lvl>
  </w:abstractNum>
  <w:abstractNum w:abstractNumId="19" w15:restartNumberingAfterBreak="0">
    <w:nsid w:val="68D20DD8"/>
    <w:multiLevelType w:val="hybridMultilevel"/>
    <w:tmpl w:val="704CB096"/>
    <w:lvl w:ilvl="0" w:tplc="1E5AE5B2">
      <w:start w:val="1"/>
      <w:numFmt w:val="bullet"/>
      <w:lvlText w:val="•"/>
      <w:lvlJc w:val="left"/>
      <w:pPr>
        <w:tabs>
          <w:tab w:val="num" w:pos="785"/>
        </w:tabs>
        <w:ind w:left="785" w:hanging="360"/>
      </w:pPr>
      <w:rPr>
        <w:rFonts w:ascii="新細明體" w:hAnsi="新細明體" w:hint="default"/>
      </w:rPr>
    </w:lvl>
    <w:lvl w:ilvl="1" w:tplc="9CCCE22A" w:tentative="1">
      <w:start w:val="1"/>
      <w:numFmt w:val="bullet"/>
      <w:lvlText w:val="•"/>
      <w:lvlJc w:val="left"/>
      <w:pPr>
        <w:tabs>
          <w:tab w:val="num" w:pos="1505"/>
        </w:tabs>
        <w:ind w:left="1505" w:hanging="360"/>
      </w:pPr>
      <w:rPr>
        <w:rFonts w:ascii="新細明體" w:hAnsi="新細明體" w:hint="default"/>
      </w:rPr>
    </w:lvl>
    <w:lvl w:ilvl="2" w:tplc="F6049A22" w:tentative="1">
      <w:start w:val="1"/>
      <w:numFmt w:val="bullet"/>
      <w:lvlText w:val="•"/>
      <w:lvlJc w:val="left"/>
      <w:pPr>
        <w:tabs>
          <w:tab w:val="num" w:pos="2225"/>
        </w:tabs>
        <w:ind w:left="2225" w:hanging="360"/>
      </w:pPr>
      <w:rPr>
        <w:rFonts w:ascii="新細明體" w:hAnsi="新細明體" w:hint="default"/>
      </w:rPr>
    </w:lvl>
    <w:lvl w:ilvl="3" w:tplc="815E8AAC" w:tentative="1">
      <w:start w:val="1"/>
      <w:numFmt w:val="bullet"/>
      <w:lvlText w:val="•"/>
      <w:lvlJc w:val="left"/>
      <w:pPr>
        <w:tabs>
          <w:tab w:val="num" w:pos="2945"/>
        </w:tabs>
        <w:ind w:left="2945" w:hanging="360"/>
      </w:pPr>
      <w:rPr>
        <w:rFonts w:ascii="新細明體" w:hAnsi="新細明體" w:hint="default"/>
      </w:rPr>
    </w:lvl>
    <w:lvl w:ilvl="4" w:tplc="4EA0AC3E" w:tentative="1">
      <w:start w:val="1"/>
      <w:numFmt w:val="bullet"/>
      <w:lvlText w:val="•"/>
      <w:lvlJc w:val="left"/>
      <w:pPr>
        <w:tabs>
          <w:tab w:val="num" w:pos="3665"/>
        </w:tabs>
        <w:ind w:left="3665" w:hanging="360"/>
      </w:pPr>
      <w:rPr>
        <w:rFonts w:ascii="新細明體" w:hAnsi="新細明體" w:hint="default"/>
      </w:rPr>
    </w:lvl>
    <w:lvl w:ilvl="5" w:tplc="3ECA18FA" w:tentative="1">
      <w:start w:val="1"/>
      <w:numFmt w:val="bullet"/>
      <w:lvlText w:val="•"/>
      <w:lvlJc w:val="left"/>
      <w:pPr>
        <w:tabs>
          <w:tab w:val="num" w:pos="4385"/>
        </w:tabs>
        <w:ind w:left="4385" w:hanging="360"/>
      </w:pPr>
      <w:rPr>
        <w:rFonts w:ascii="新細明體" w:hAnsi="新細明體" w:hint="default"/>
      </w:rPr>
    </w:lvl>
    <w:lvl w:ilvl="6" w:tplc="9540416A" w:tentative="1">
      <w:start w:val="1"/>
      <w:numFmt w:val="bullet"/>
      <w:lvlText w:val="•"/>
      <w:lvlJc w:val="left"/>
      <w:pPr>
        <w:tabs>
          <w:tab w:val="num" w:pos="5105"/>
        </w:tabs>
        <w:ind w:left="5105" w:hanging="360"/>
      </w:pPr>
      <w:rPr>
        <w:rFonts w:ascii="新細明體" w:hAnsi="新細明體" w:hint="default"/>
      </w:rPr>
    </w:lvl>
    <w:lvl w:ilvl="7" w:tplc="DAFC945A" w:tentative="1">
      <w:start w:val="1"/>
      <w:numFmt w:val="bullet"/>
      <w:lvlText w:val="•"/>
      <w:lvlJc w:val="left"/>
      <w:pPr>
        <w:tabs>
          <w:tab w:val="num" w:pos="5825"/>
        </w:tabs>
        <w:ind w:left="5825" w:hanging="360"/>
      </w:pPr>
      <w:rPr>
        <w:rFonts w:ascii="新細明體" w:hAnsi="新細明體" w:hint="default"/>
      </w:rPr>
    </w:lvl>
    <w:lvl w:ilvl="8" w:tplc="A4828BF8" w:tentative="1">
      <w:start w:val="1"/>
      <w:numFmt w:val="bullet"/>
      <w:lvlText w:val="•"/>
      <w:lvlJc w:val="left"/>
      <w:pPr>
        <w:tabs>
          <w:tab w:val="num" w:pos="6545"/>
        </w:tabs>
        <w:ind w:left="6545" w:hanging="360"/>
      </w:pPr>
      <w:rPr>
        <w:rFonts w:ascii="新細明體" w:hAnsi="新細明體" w:hint="default"/>
      </w:rPr>
    </w:lvl>
  </w:abstractNum>
  <w:abstractNum w:abstractNumId="20" w15:restartNumberingAfterBreak="0">
    <w:nsid w:val="740F3A26"/>
    <w:multiLevelType w:val="hybridMultilevel"/>
    <w:tmpl w:val="031C90D2"/>
    <w:lvl w:ilvl="0" w:tplc="5A944240">
      <w:start w:val="1"/>
      <w:numFmt w:val="bullet"/>
      <w:lvlText w:val="•"/>
      <w:lvlJc w:val="left"/>
      <w:pPr>
        <w:tabs>
          <w:tab w:val="num" w:pos="720"/>
        </w:tabs>
        <w:ind w:left="720" w:hanging="360"/>
      </w:pPr>
      <w:rPr>
        <w:rFonts w:ascii="新細明體" w:hAnsi="新細明體" w:hint="default"/>
      </w:rPr>
    </w:lvl>
    <w:lvl w:ilvl="1" w:tplc="FA52B872" w:tentative="1">
      <w:start w:val="1"/>
      <w:numFmt w:val="bullet"/>
      <w:lvlText w:val="•"/>
      <w:lvlJc w:val="left"/>
      <w:pPr>
        <w:tabs>
          <w:tab w:val="num" w:pos="1440"/>
        </w:tabs>
        <w:ind w:left="1440" w:hanging="360"/>
      </w:pPr>
      <w:rPr>
        <w:rFonts w:ascii="新細明體" w:hAnsi="新細明體" w:hint="default"/>
      </w:rPr>
    </w:lvl>
    <w:lvl w:ilvl="2" w:tplc="5FEA1F90" w:tentative="1">
      <w:start w:val="1"/>
      <w:numFmt w:val="bullet"/>
      <w:lvlText w:val="•"/>
      <w:lvlJc w:val="left"/>
      <w:pPr>
        <w:tabs>
          <w:tab w:val="num" w:pos="2160"/>
        </w:tabs>
        <w:ind w:left="2160" w:hanging="360"/>
      </w:pPr>
      <w:rPr>
        <w:rFonts w:ascii="新細明體" w:hAnsi="新細明體" w:hint="default"/>
      </w:rPr>
    </w:lvl>
    <w:lvl w:ilvl="3" w:tplc="355C85C0" w:tentative="1">
      <w:start w:val="1"/>
      <w:numFmt w:val="bullet"/>
      <w:lvlText w:val="•"/>
      <w:lvlJc w:val="left"/>
      <w:pPr>
        <w:tabs>
          <w:tab w:val="num" w:pos="2880"/>
        </w:tabs>
        <w:ind w:left="2880" w:hanging="360"/>
      </w:pPr>
      <w:rPr>
        <w:rFonts w:ascii="新細明體" w:hAnsi="新細明體" w:hint="default"/>
      </w:rPr>
    </w:lvl>
    <w:lvl w:ilvl="4" w:tplc="AFEC8404" w:tentative="1">
      <w:start w:val="1"/>
      <w:numFmt w:val="bullet"/>
      <w:lvlText w:val="•"/>
      <w:lvlJc w:val="left"/>
      <w:pPr>
        <w:tabs>
          <w:tab w:val="num" w:pos="3600"/>
        </w:tabs>
        <w:ind w:left="3600" w:hanging="360"/>
      </w:pPr>
      <w:rPr>
        <w:rFonts w:ascii="新細明體" w:hAnsi="新細明體" w:hint="default"/>
      </w:rPr>
    </w:lvl>
    <w:lvl w:ilvl="5" w:tplc="1D521DCA" w:tentative="1">
      <w:start w:val="1"/>
      <w:numFmt w:val="bullet"/>
      <w:lvlText w:val="•"/>
      <w:lvlJc w:val="left"/>
      <w:pPr>
        <w:tabs>
          <w:tab w:val="num" w:pos="4320"/>
        </w:tabs>
        <w:ind w:left="4320" w:hanging="360"/>
      </w:pPr>
      <w:rPr>
        <w:rFonts w:ascii="新細明體" w:hAnsi="新細明體" w:hint="default"/>
      </w:rPr>
    </w:lvl>
    <w:lvl w:ilvl="6" w:tplc="14543E2E" w:tentative="1">
      <w:start w:val="1"/>
      <w:numFmt w:val="bullet"/>
      <w:lvlText w:val="•"/>
      <w:lvlJc w:val="left"/>
      <w:pPr>
        <w:tabs>
          <w:tab w:val="num" w:pos="5040"/>
        </w:tabs>
        <w:ind w:left="5040" w:hanging="360"/>
      </w:pPr>
      <w:rPr>
        <w:rFonts w:ascii="新細明體" w:hAnsi="新細明體" w:hint="default"/>
      </w:rPr>
    </w:lvl>
    <w:lvl w:ilvl="7" w:tplc="DBD4F5F0" w:tentative="1">
      <w:start w:val="1"/>
      <w:numFmt w:val="bullet"/>
      <w:lvlText w:val="•"/>
      <w:lvlJc w:val="left"/>
      <w:pPr>
        <w:tabs>
          <w:tab w:val="num" w:pos="5760"/>
        </w:tabs>
        <w:ind w:left="5760" w:hanging="360"/>
      </w:pPr>
      <w:rPr>
        <w:rFonts w:ascii="新細明體" w:hAnsi="新細明體" w:hint="default"/>
      </w:rPr>
    </w:lvl>
    <w:lvl w:ilvl="8" w:tplc="8F9E16B6" w:tentative="1">
      <w:start w:val="1"/>
      <w:numFmt w:val="bullet"/>
      <w:lvlText w:val="•"/>
      <w:lvlJc w:val="left"/>
      <w:pPr>
        <w:tabs>
          <w:tab w:val="num" w:pos="6480"/>
        </w:tabs>
        <w:ind w:left="6480" w:hanging="360"/>
      </w:pPr>
      <w:rPr>
        <w:rFonts w:ascii="新細明體" w:hAnsi="新細明體" w:hint="default"/>
      </w:rPr>
    </w:lvl>
  </w:abstractNum>
  <w:abstractNum w:abstractNumId="21" w15:restartNumberingAfterBreak="0">
    <w:nsid w:val="75D65EB0"/>
    <w:multiLevelType w:val="hybridMultilevel"/>
    <w:tmpl w:val="44ECA352"/>
    <w:lvl w:ilvl="0" w:tplc="035E6530">
      <w:start w:val="1"/>
      <w:numFmt w:val="upperLetter"/>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2" w15:restartNumberingAfterBreak="0">
    <w:nsid w:val="777936BF"/>
    <w:multiLevelType w:val="hybridMultilevel"/>
    <w:tmpl w:val="0E4E1380"/>
    <w:lvl w:ilvl="0" w:tplc="6B8420B2">
      <w:start w:val="1"/>
      <w:numFmt w:val="bullet"/>
      <w:lvlText w:val="•"/>
      <w:lvlJc w:val="left"/>
      <w:pPr>
        <w:tabs>
          <w:tab w:val="num" w:pos="720"/>
        </w:tabs>
        <w:ind w:left="720" w:hanging="360"/>
      </w:pPr>
      <w:rPr>
        <w:rFonts w:ascii="新細明體" w:hAnsi="新細明體" w:hint="default"/>
      </w:rPr>
    </w:lvl>
    <w:lvl w:ilvl="1" w:tplc="B4A6FCAE" w:tentative="1">
      <w:start w:val="1"/>
      <w:numFmt w:val="bullet"/>
      <w:lvlText w:val="•"/>
      <w:lvlJc w:val="left"/>
      <w:pPr>
        <w:tabs>
          <w:tab w:val="num" w:pos="1440"/>
        </w:tabs>
        <w:ind w:left="1440" w:hanging="360"/>
      </w:pPr>
      <w:rPr>
        <w:rFonts w:ascii="新細明體" w:hAnsi="新細明體" w:hint="default"/>
      </w:rPr>
    </w:lvl>
    <w:lvl w:ilvl="2" w:tplc="3188BFE6" w:tentative="1">
      <w:start w:val="1"/>
      <w:numFmt w:val="bullet"/>
      <w:lvlText w:val="•"/>
      <w:lvlJc w:val="left"/>
      <w:pPr>
        <w:tabs>
          <w:tab w:val="num" w:pos="2160"/>
        </w:tabs>
        <w:ind w:left="2160" w:hanging="360"/>
      </w:pPr>
      <w:rPr>
        <w:rFonts w:ascii="新細明體" w:hAnsi="新細明體" w:hint="default"/>
      </w:rPr>
    </w:lvl>
    <w:lvl w:ilvl="3" w:tplc="8FE26B82" w:tentative="1">
      <w:start w:val="1"/>
      <w:numFmt w:val="bullet"/>
      <w:lvlText w:val="•"/>
      <w:lvlJc w:val="left"/>
      <w:pPr>
        <w:tabs>
          <w:tab w:val="num" w:pos="2880"/>
        </w:tabs>
        <w:ind w:left="2880" w:hanging="360"/>
      </w:pPr>
      <w:rPr>
        <w:rFonts w:ascii="新細明體" w:hAnsi="新細明體" w:hint="default"/>
      </w:rPr>
    </w:lvl>
    <w:lvl w:ilvl="4" w:tplc="FB8CB7F2" w:tentative="1">
      <w:start w:val="1"/>
      <w:numFmt w:val="bullet"/>
      <w:lvlText w:val="•"/>
      <w:lvlJc w:val="left"/>
      <w:pPr>
        <w:tabs>
          <w:tab w:val="num" w:pos="3600"/>
        </w:tabs>
        <w:ind w:left="3600" w:hanging="360"/>
      </w:pPr>
      <w:rPr>
        <w:rFonts w:ascii="新細明體" w:hAnsi="新細明體" w:hint="default"/>
      </w:rPr>
    </w:lvl>
    <w:lvl w:ilvl="5" w:tplc="7756B5F0" w:tentative="1">
      <w:start w:val="1"/>
      <w:numFmt w:val="bullet"/>
      <w:lvlText w:val="•"/>
      <w:lvlJc w:val="left"/>
      <w:pPr>
        <w:tabs>
          <w:tab w:val="num" w:pos="4320"/>
        </w:tabs>
        <w:ind w:left="4320" w:hanging="360"/>
      </w:pPr>
      <w:rPr>
        <w:rFonts w:ascii="新細明體" w:hAnsi="新細明體" w:hint="default"/>
      </w:rPr>
    </w:lvl>
    <w:lvl w:ilvl="6" w:tplc="550C3374" w:tentative="1">
      <w:start w:val="1"/>
      <w:numFmt w:val="bullet"/>
      <w:lvlText w:val="•"/>
      <w:lvlJc w:val="left"/>
      <w:pPr>
        <w:tabs>
          <w:tab w:val="num" w:pos="5040"/>
        </w:tabs>
        <w:ind w:left="5040" w:hanging="360"/>
      </w:pPr>
      <w:rPr>
        <w:rFonts w:ascii="新細明體" w:hAnsi="新細明體" w:hint="default"/>
      </w:rPr>
    </w:lvl>
    <w:lvl w:ilvl="7" w:tplc="5C62701C" w:tentative="1">
      <w:start w:val="1"/>
      <w:numFmt w:val="bullet"/>
      <w:lvlText w:val="•"/>
      <w:lvlJc w:val="left"/>
      <w:pPr>
        <w:tabs>
          <w:tab w:val="num" w:pos="5760"/>
        </w:tabs>
        <w:ind w:left="5760" w:hanging="360"/>
      </w:pPr>
      <w:rPr>
        <w:rFonts w:ascii="新細明體" w:hAnsi="新細明體" w:hint="default"/>
      </w:rPr>
    </w:lvl>
    <w:lvl w:ilvl="8" w:tplc="6804C722" w:tentative="1">
      <w:start w:val="1"/>
      <w:numFmt w:val="bullet"/>
      <w:lvlText w:val="•"/>
      <w:lvlJc w:val="left"/>
      <w:pPr>
        <w:tabs>
          <w:tab w:val="num" w:pos="6480"/>
        </w:tabs>
        <w:ind w:left="6480" w:hanging="360"/>
      </w:pPr>
      <w:rPr>
        <w:rFonts w:ascii="新細明體" w:hAnsi="新細明體" w:hint="default"/>
      </w:rPr>
    </w:lvl>
  </w:abstractNum>
  <w:abstractNum w:abstractNumId="23" w15:restartNumberingAfterBreak="0">
    <w:nsid w:val="7A9208BE"/>
    <w:multiLevelType w:val="hybridMultilevel"/>
    <w:tmpl w:val="8B9C4AA4"/>
    <w:lvl w:ilvl="0" w:tplc="E53E159E">
      <w:start w:val="1"/>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8"/>
  </w:num>
  <w:num w:numId="3">
    <w:abstractNumId w:val="19"/>
  </w:num>
  <w:num w:numId="4">
    <w:abstractNumId w:val="11"/>
  </w:num>
  <w:num w:numId="5">
    <w:abstractNumId w:val="10"/>
  </w:num>
  <w:num w:numId="6">
    <w:abstractNumId w:val="9"/>
  </w:num>
  <w:num w:numId="7">
    <w:abstractNumId w:val="6"/>
  </w:num>
  <w:num w:numId="8">
    <w:abstractNumId w:val="1"/>
  </w:num>
  <w:num w:numId="9">
    <w:abstractNumId w:val="0"/>
  </w:num>
  <w:num w:numId="10">
    <w:abstractNumId w:val="18"/>
  </w:num>
  <w:num w:numId="11">
    <w:abstractNumId w:val="5"/>
  </w:num>
  <w:num w:numId="12">
    <w:abstractNumId w:val="16"/>
  </w:num>
  <w:num w:numId="13">
    <w:abstractNumId w:val="23"/>
  </w:num>
  <w:num w:numId="14">
    <w:abstractNumId w:val="21"/>
  </w:num>
  <w:num w:numId="15">
    <w:abstractNumId w:val="7"/>
  </w:num>
  <w:num w:numId="16">
    <w:abstractNumId w:val="15"/>
  </w:num>
  <w:num w:numId="17">
    <w:abstractNumId w:val="4"/>
  </w:num>
  <w:num w:numId="18">
    <w:abstractNumId w:val="12"/>
  </w:num>
  <w:num w:numId="19">
    <w:abstractNumId w:val="2"/>
  </w:num>
  <w:num w:numId="20">
    <w:abstractNumId w:val="3"/>
  </w:num>
  <w:num w:numId="21">
    <w:abstractNumId w:val="22"/>
  </w:num>
  <w:num w:numId="22">
    <w:abstractNumId w:val="13"/>
  </w:num>
  <w:num w:numId="23">
    <w:abstractNumId w:val="14"/>
  </w:num>
  <w:num w:numId="2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035"/>
    <w:rsid w:val="00006231"/>
    <w:rsid w:val="00086B5A"/>
    <w:rsid w:val="000B1EEA"/>
    <w:rsid w:val="000C113F"/>
    <w:rsid w:val="000D7D8E"/>
    <w:rsid w:val="0012538C"/>
    <w:rsid w:val="00146458"/>
    <w:rsid w:val="001C50AE"/>
    <w:rsid w:val="001E0A8F"/>
    <w:rsid w:val="001F5332"/>
    <w:rsid w:val="001F75CF"/>
    <w:rsid w:val="00245B24"/>
    <w:rsid w:val="00255540"/>
    <w:rsid w:val="002F2A9B"/>
    <w:rsid w:val="00315CA8"/>
    <w:rsid w:val="00347D11"/>
    <w:rsid w:val="00373035"/>
    <w:rsid w:val="00395D54"/>
    <w:rsid w:val="004232BC"/>
    <w:rsid w:val="0045470A"/>
    <w:rsid w:val="0046283E"/>
    <w:rsid w:val="00465836"/>
    <w:rsid w:val="0047250F"/>
    <w:rsid w:val="004C4E6E"/>
    <w:rsid w:val="004C4FD6"/>
    <w:rsid w:val="004D4E46"/>
    <w:rsid w:val="004D7680"/>
    <w:rsid w:val="00551BFA"/>
    <w:rsid w:val="005A3AA6"/>
    <w:rsid w:val="005B0B08"/>
    <w:rsid w:val="005C2637"/>
    <w:rsid w:val="0063428C"/>
    <w:rsid w:val="00691FBE"/>
    <w:rsid w:val="0069298D"/>
    <w:rsid w:val="00695244"/>
    <w:rsid w:val="007442D7"/>
    <w:rsid w:val="007A1074"/>
    <w:rsid w:val="007A2135"/>
    <w:rsid w:val="00807D0E"/>
    <w:rsid w:val="008275AD"/>
    <w:rsid w:val="0085171F"/>
    <w:rsid w:val="008B13A5"/>
    <w:rsid w:val="008B78E3"/>
    <w:rsid w:val="008E509E"/>
    <w:rsid w:val="00924E0F"/>
    <w:rsid w:val="00972FF4"/>
    <w:rsid w:val="00996EFE"/>
    <w:rsid w:val="009C53EB"/>
    <w:rsid w:val="00A9649C"/>
    <w:rsid w:val="00AE2148"/>
    <w:rsid w:val="00BA2909"/>
    <w:rsid w:val="00C057CE"/>
    <w:rsid w:val="00C71177"/>
    <w:rsid w:val="00C82EFF"/>
    <w:rsid w:val="00CD5C09"/>
    <w:rsid w:val="00D344BD"/>
    <w:rsid w:val="00D51088"/>
    <w:rsid w:val="00D537CC"/>
    <w:rsid w:val="00D65C84"/>
    <w:rsid w:val="00D87667"/>
    <w:rsid w:val="00E133EF"/>
    <w:rsid w:val="00EB5338"/>
    <w:rsid w:val="00EC6E3B"/>
    <w:rsid w:val="00F404D6"/>
    <w:rsid w:val="00F90B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E7A30"/>
  <w15:docId w15:val="{A431BC24-6BB0-4554-A60C-63CA666D4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45470A"/>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C84"/>
    <w:pPr>
      <w:widowControl/>
      <w:ind w:leftChars="200" w:left="480"/>
    </w:pPr>
    <w:rPr>
      <w:rFonts w:ascii="新細明體" w:eastAsia="新細明體" w:hAnsi="新細明體" w:cs="新細明體"/>
      <w:kern w:val="0"/>
      <w:szCs w:val="24"/>
    </w:rPr>
  </w:style>
  <w:style w:type="character" w:customStyle="1" w:styleId="30">
    <w:name w:val="標題 3 字元"/>
    <w:basedOn w:val="a0"/>
    <w:link w:val="3"/>
    <w:uiPriority w:val="9"/>
    <w:rsid w:val="0045470A"/>
    <w:rPr>
      <w:rFonts w:ascii="新細明體" w:eastAsia="新細明體" w:hAnsi="新細明體" w:cs="新細明體"/>
      <w:b/>
      <w:bCs/>
      <w:kern w:val="0"/>
      <w:sz w:val="27"/>
      <w:szCs w:val="27"/>
    </w:rPr>
  </w:style>
  <w:style w:type="character" w:styleId="a4">
    <w:name w:val="Hyperlink"/>
    <w:basedOn w:val="a0"/>
    <w:uiPriority w:val="99"/>
    <w:semiHidden/>
    <w:unhideWhenUsed/>
    <w:rsid w:val="0045470A"/>
    <w:rPr>
      <w:color w:val="0000FF"/>
      <w:u w:val="single"/>
    </w:rPr>
  </w:style>
  <w:style w:type="table" w:styleId="a5">
    <w:name w:val="Table Grid"/>
    <w:basedOn w:val="a1"/>
    <w:uiPriority w:val="39"/>
    <w:rsid w:val="0046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5171F"/>
    <w:pPr>
      <w:tabs>
        <w:tab w:val="center" w:pos="4153"/>
        <w:tab w:val="right" w:pos="8306"/>
      </w:tabs>
      <w:snapToGrid w:val="0"/>
    </w:pPr>
    <w:rPr>
      <w:sz w:val="20"/>
      <w:szCs w:val="20"/>
    </w:rPr>
  </w:style>
  <w:style w:type="character" w:customStyle="1" w:styleId="a7">
    <w:name w:val="頁首 字元"/>
    <w:basedOn w:val="a0"/>
    <w:link w:val="a6"/>
    <w:uiPriority w:val="99"/>
    <w:rsid w:val="0085171F"/>
    <w:rPr>
      <w:sz w:val="20"/>
      <w:szCs w:val="20"/>
    </w:rPr>
  </w:style>
  <w:style w:type="paragraph" w:styleId="a8">
    <w:name w:val="footer"/>
    <w:basedOn w:val="a"/>
    <w:link w:val="a9"/>
    <w:uiPriority w:val="99"/>
    <w:unhideWhenUsed/>
    <w:rsid w:val="0085171F"/>
    <w:pPr>
      <w:tabs>
        <w:tab w:val="center" w:pos="4153"/>
        <w:tab w:val="right" w:pos="8306"/>
      </w:tabs>
      <w:snapToGrid w:val="0"/>
    </w:pPr>
    <w:rPr>
      <w:sz w:val="20"/>
      <w:szCs w:val="20"/>
    </w:rPr>
  </w:style>
  <w:style w:type="character" w:customStyle="1" w:styleId="a9">
    <w:name w:val="頁尾 字元"/>
    <w:basedOn w:val="a0"/>
    <w:link w:val="a8"/>
    <w:uiPriority w:val="99"/>
    <w:rsid w:val="0085171F"/>
    <w:rPr>
      <w:sz w:val="20"/>
      <w:szCs w:val="20"/>
    </w:rPr>
  </w:style>
  <w:style w:type="character" w:customStyle="1" w:styleId="itemcontent">
    <w:name w:val="itemcontent"/>
    <w:basedOn w:val="a0"/>
    <w:rsid w:val="00CD5C09"/>
  </w:style>
  <w:style w:type="character" w:styleId="aa">
    <w:name w:val="Strong"/>
    <w:basedOn w:val="a0"/>
    <w:uiPriority w:val="22"/>
    <w:qFormat/>
    <w:rsid w:val="001F5332"/>
    <w:rPr>
      <w:b/>
      <w:bCs/>
    </w:rPr>
  </w:style>
  <w:style w:type="paragraph" w:styleId="Web">
    <w:name w:val="Normal (Web)"/>
    <w:basedOn w:val="a"/>
    <w:uiPriority w:val="99"/>
    <w:semiHidden/>
    <w:unhideWhenUsed/>
    <w:rsid w:val="001F5332"/>
    <w:pPr>
      <w:widowControl/>
      <w:spacing w:before="100" w:beforeAutospacing="1" w:after="100" w:afterAutospacing="1"/>
    </w:pPr>
    <w:rPr>
      <w:rFonts w:ascii="新細明體" w:eastAsia="新細明體" w:hAnsi="新細明體" w:cs="新細明體"/>
      <w:kern w:val="0"/>
      <w:szCs w:val="24"/>
    </w:rPr>
  </w:style>
  <w:style w:type="paragraph" w:styleId="ab">
    <w:name w:val="Balloon Text"/>
    <w:basedOn w:val="a"/>
    <w:link w:val="ac"/>
    <w:uiPriority w:val="99"/>
    <w:semiHidden/>
    <w:unhideWhenUsed/>
    <w:rsid w:val="00D537CC"/>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537CC"/>
    <w:rPr>
      <w:rFonts w:asciiTheme="majorHAnsi" w:eastAsiaTheme="majorEastAsia" w:hAnsiTheme="majorHAnsi" w:cstheme="majorBidi"/>
      <w:sz w:val="18"/>
      <w:szCs w:val="18"/>
    </w:rPr>
  </w:style>
  <w:style w:type="character" w:styleId="ad">
    <w:name w:val="Emphasis"/>
    <w:basedOn w:val="a0"/>
    <w:uiPriority w:val="20"/>
    <w:qFormat/>
    <w:rsid w:val="004232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2052">
      <w:bodyDiv w:val="1"/>
      <w:marLeft w:val="0"/>
      <w:marRight w:val="0"/>
      <w:marTop w:val="0"/>
      <w:marBottom w:val="0"/>
      <w:divBdr>
        <w:top w:val="none" w:sz="0" w:space="0" w:color="auto"/>
        <w:left w:val="none" w:sz="0" w:space="0" w:color="auto"/>
        <w:bottom w:val="none" w:sz="0" w:space="0" w:color="auto"/>
        <w:right w:val="none" w:sz="0" w:space="0" w:color="auto"/>
      </w:divBdr>
      <w:divsChild>
        <w:div w:id="1220289839">
          <w:marLeft w:val="547"/>
          <w:marRight w:val="0"/>
          <w:marTop w:val="0"/>
          <w:marBottom w:val="0"/>
          <w:divBdr>
            <w:top w:val="none" w:sz="0" w:space="0" w:color="auto"/>
            <w:left w:val="none" w:sz="0" w:space="0" w:color="auto"/>
            <w:bottom w:val="none" w:sz="0" w:space="0" w:color="auto"/>
            <w:right w:val="none" w:sz="0" w:space="0" w:color="auto"/>
          </w:divBdr>
        </w:div>
      </w:divsChild>
    </w:div>
    <w:div w:id="19819562">
      <w:bodyDiv w:val="1"/>
      <w:marLeft w:val="0"/>
      <w:marRight w:val="0"/>
      <w:marTop w:val="0"/>
      <w:marBottom w:val="0"/>
      <w:divBdr>
        <w:top w:val="none" w:sz="0" w:space="0" w:color="auto"/>
        <w:left w:val="none" w:sz="0" w:space="0" w:color="auto"/>
        <w:bottom w:val="none" w:sz="0" w:space="0" w:color="auto"/>
        <w:right w:val="none" w:sz="0" w:space="0" w:color="auto"/>
      </w:divBdr>
      <w:divsChild>
        <w:div w:id="177930513">
          <w:marLeft w:val="547"/>
          <w:marRight w:val="0"/>
          <w:marTop w:val="0"/>
          <w:marBottom w:val="0"/>
          <w:divBdr>
            <w:top w:val="none" w:sz="0" w:space="0" w:color="auto"/>
            <w:left w:val="none" w:sz="0" w:space="0" w:color="auto"/>
            <w:bottom w:val="none" w:sz="0" w:space="0" w:color="auto"/>
            <w:right w:val="none" w:sz="0" w:space="0" w:color="auto"/>
          </w:divBdr>
        </w:div>
      </w:divsChild>
    </w:div>
    <w:div w:id="59251120">
      <w:bodyDiv w:val="1"/>
      <w:marLeft w:val="0"/>
      <w:marRight w:val="0"/>
      <w:marTop w:val="0"/>
      <w:marBottom w:val="0"/>
      <w:divBdr>
        <w:top w:val="none" w:sz="0" w:space="0" w:color="auto"/>
        <w:left w:val="none" w:sz="0" w:space="0" w:color="auto"/>
        <w:bottom w:val="none" w:sz="0" w:space="0" w:color="auto"/>
        <w:right w:val="none" w:sz="0" w:space="0" w:color="auto"/>
      </w:divBdr>
      <w:divsChild>
        <w:div w:id="1505047052">
          <w:marLeft w:val="547"/>
          <w:marRight w:val="0"/>
          <w:marTop w:val="0"/>
          <w:marBottom w:val="0"/>
          <w:divBdr>
            <w:top w:val="none" w:sz="0" w:space="0" w:color="auto"/>
            <w:left w:val="none" w:sz="0" w:space="0" w:color="auto"/>
            <w:bottom w:val="none" w:sz="0" w:space="0" w:color="auto"/>
            <w:right w:val="none" w:sz="0" w:space="0" w:color="auto"/>
          </w:divBdr>
        </w:div>
      </w:divsChild>
    </w:div>
    <w:div w:id="90711922">
      <w:bodyDiv w:val="1"/>
      <w:marLeft w:val="0"/>
      <w:marRight w:val="0"/>
      <w:marTop w:val="0"/>
      <w:marBottom w:val="0"/>
      <w:divBdr>
        <w:top w:val="none" w:sz="0" w:space="0" w:color="auto"/>
        <w:left w:val="none" w:sz="0" w:space="0" w:color="auto"/>
        <w:bottom w:val="none" w:sz="0" w:space="0" w:color="auto"/>
        <w:right w:val="none" w:sz="0" w:space="0" w:color="auto"/>
      </w:divBdr>
    </w:div>
    <w:div w:id="104735347">
      <w:bodyDiv w:val="1"/>
      <w:marLeft w:val="0"/>
      <w:marRight w:val="0"/>
      <w:marTop w:val="0"/>
      <w:marBottom w:val="0"/>
      <w:divBdr>
        <w:top w:val="none" w:sz="0" w:space="0" w:color="auto"/>
        <w:left w:val="none" w:sz="0" w:space="0" w:color="auto"/>
        <w:bottom w:val="none" w:sz="0" w:space="0" w:color="auto"/>
        <w:right w:val="none" w:sz="0" w:space="0" w:color="auto"/>
      </w:divBdr>
      <w:divsChild>
        <w:div w:id="1885630489">
          <w:marLeft w:val="547"/>
          <w:marRight w:val="0"/>
          <w:marTop w:val="0"/>
          <w:marBottom w:val="0"/>
          <w:divBdr>
            <w:top w:val="none" w:sz="0" w:space="0" w:color="auto"/>
            <w:left w:val="none" w:sz="0" w:space="0" w:color="auto"/>
            <w:bottom w:val="none" w:sz="0" w:space="0" w:color="auto"/>
            <w:right w:val="none" w:sz="0" w:space="0" w:color="auto"/>
          </w:divBdr>
        </w:div>
      </w:divsChild>
    </w:div>
    <w:div w:id="136536290">
      <w:bodyDiv w:val="1"/>
      <w:marLeft w:val="0"/>
      <w:marRight w:val="0"/>
      <w:marTop w:val="0"/>
      <w:marBottom w:val="0"/>
      <w:divBdr>
        <w:top w:val="none" w:sz="0" w:space="0" w:color="auto"/>
        <w:left w:val="none" w:sz="0" w:space="0" w:color="auto"/>
        <w:bottom w:val="none" w:sz="0" w:space="0" w:color="auto"/>
        <w:right w:val="none" w:sz="0" w:space="0" w:color="auto"/>
      </w:divBdr>
    </w:div>
    <w:div w:id="152838754">
      <w:bodyDiv w:val="1"/>
      <w:marLeft w:val="0"/>
      <w:marRight w:val="0"/>
      <w:marTop w:val="0"/>
      <w:marBottom w:val="0"/>
      <w:divBdr>
        <w:top w:val="none" w:sz="0" w:space="0" w:color="auto"/>
        <w:left w:val="none" w:sz="0" w:space="0" w:color="auto"/>
        <w:bottom w:val="none" w:sz="0" w:space="0" w:color="auto"/>
        <w:right w:val="none" w:sz="0" w:space="0" w:color="auto"/>
      </w:divBdr>
      <w:divsChild>
        <w:div w:id="10037811">
          <w:marLeft w:val="547"/>
          <w:marRight w:val="0"/>
          <w:marTop w:val="0"/>
          <w:marBottom w:val="0"/>
          <w:divBdr>
            <w:top w:val="none" w:sz="0" w:space="0" w:color="auto"/>
            <w:left w:val="none" w:sz="0" w:space="0" w:color="auto"/>
            <w:bottom w:val="none" w:sz="0" w:space="0" w:color="auto"/>
            <w:right w:val="none" w:sz="0" w:space="0" w:color="auto"/>
          </w:divBdr>
        </w:div>
      </w:divsChild>
    </w:div>
    <w:div w:id="188220360">
      <w:bodyDiv w:val="1"/>
      <w:marLeft w:val="0"/>
      <w:marRight w:val="0"/>
      <w:marTop w:val="0"/>
      <w:marBottom w:val="0"/>
      <w:divBdr>
        <w:top w:val="none" w:sz="0" w:space="0" w:color="auto"/>
        <w:left w:val="none" w:sz="0" w:space="0" w:color="auto"/>
        <w:bottom w:val="none" w:sz="0" w:space="0" w:color="auto"/>
        <w:right w:val="none" w:sz="0" w:space="0" w:color="auto"/>
      </w:divBdr>
      <w:divsChild>
        <w:div w:id="740326436">
          <w:marLeft w:val="547"/>
          <w:marRight w:val="0"/>
          <w:marTop w:val="0"/>
          <w:marBottom w:val="0"/>
          <w:divBdr>
            <w:top w:val="none" w:sz="0" w:space="0" w:color="auto"/>
            <w:left w:val="none" w:sz="0" w:space="0" w:color="auto"/>
            <w:bottom w:val="none" w:sz="0" w:space="0" w:color="auto"/>
            <w:right w:val="none" w:sz="0" w:space="0" w:color="auto"/>
          </w:divBdr>
        </w:div>
      </w:divsChild>
    </w:div>
    <w:div w:id="198903718">
      <w:bodyDiv w:val="1"/>
      <w:marLeft w:val="0"/>
      <w:marRight w:val="0"/>
      <w:marTop w:val="0"/>
      <w:marBottom w:val="0"/>
      <w:divBdr>
        <w:top w:val="none" w:sz="0" w:space="0" w:color="auto"/>
        <w:left w:val="none" w:sz="0" w:space="0" w:color="auto"/>
        <w:bottom w:val="none" w:sz="0" w:space="0" w:color="auto"/>
        <w:right w:val="none" w:sz="0" w:space="0" w:color="auto"/>
      </w:divBdr>
      <w:divsChild>
        <w:div w:id="1911961451">
          <w:marLeft w:val="547"/>
          <w:marRight w:val="0"/>
          <w:marTop w:val="0"/>
          <w:marBottom w:val="0"/>
          <w:divBdr>
            <w:top w:val="none" w:sz="0" w:space="0" w:color="auto"/>
            <w:left w:val="none" w:sz="0" w:space="0" w:color="auto"/>
            <w:bottom w:val="none" w:sz="0" w:space="0" w:color="auto"/>
            <w:right w:val="none" w:sz="0" w:space="0" w:color="auto"/>
          </w:divBdr>
        </w:div>
      </w:divsChild>
    </w:div>
    <w:div w:id="254678097">
      <w:bodyDiv w:val="1"/>
      <w:marLeft w:val="0"/>
      <w:marRight w:val="0"/>
      <w:marTop w:val="0"/>
      <w:marBottom w:val="0"/>
      <w:divBdr>
        <w:top w:val="none" w:sz="0" w:space="0" w:color="auto"/>
        <w:left w:val="none" w:sz="0" w:space="0" w:color="auto"/>
        <w:bottom w:val="none" w:sz="0" w:space="0" w:color="auto"/>
        <w:right w:val="none" w:sz="0" w:space="0" w:color="auto"/>
      </w:divBdr>
      <w:divsChild>
        <w:div w:id="2095005390">
          <w:marLeft w:val="547"/>
          <w:marRight w:val="0"/>
          <w:marTop w:val="0"/>
          <w:marBottom w:val="0"/>
          <w:divBdr>
            <w:top w:val="none" w:sz="0" w:space="0" w:color="auto"/>
            <w:left w:val="none" w:sz="0" w:space="0" w:color="auto"/>
            <w:bottom w:val="none" w:sz="0" w:space="0" w:color="auto"/>
            <w:right w:val="none" w:sz="0" w:space="0" w:color="auto"/>
          </w:divBdr>
        </w:div>
      </w:divsChild>
    </w:div>
    <w:div w:id="305791463">
      <w:bodyDiv w:val="1"/>
      <w:marLeft w:val="0"/>
      <w:marRight w:val="0"/>
      <w:marTop w:val="0"/>
      <w:marBottom w:val="0"/>
      <w:divBdr>
        <w:top w:val="none" w:sz="0" w:space="0" w:color="auto"/>
        <w:left w:val="none" w:sz="0" w:space="0" w:color="auto"/>
        <w:bottom w:val="none" w:sz="0" w:space="0" w:color="auto"/>
        <w:right w:val="none" w:sz="0" w:space="0" w:color="auto"/>
      </w:divBdr>
      <w:divsChild>
        <w:div w:id="177083707">
          <w:marLeft w:val="547"/>
          <w:marRight w:val="0"/>
          <w:marTop w:val="0"/>
          <w:marBottom w:val="0"/>
          <w:divBdr>
            <w:top w:val="none" w:sz="0" w:space="0" w:color="auto"/>
            <w:left w:val="none" w:sz="0" w:space="0" w:color="auto"/>
            <w:bottom w:val="none" w:sz="0" w:space="0" w:color="auto"/>
            <w:right w:val="none" w:sz="0" w:space="0" w:color="auto"/>
          </w:divBdr>
        </w:div>
      </w:divsChild>
    </w:div>
    <w:div w:id="328407734">
      <w:bodyDiv w:val="1"/>
      <w:marLeft w:val="0"/>
      <w:marRight w:val="0"/>
      <w:marTop w:val="0"/>
      <w:marBottom w:val="0"/>
      <w:divBdr>
        <w:top w:val="none" w:sz="0" w:space="0" w:color="auto"/>
        <w:left w:val="none" w:sz="0" w:space="0" w:color="auto"/>
        <w:bottom w:val="none" w:sz="0" w:space="0" w:color="auto"/>
        <w:right w:val="none" w:sz="0" w:space="0" w:color="auto"/>
      </w:divBdr>
      <w:divsChild>
        <w:div w:id="1350520227">
          <w:marLeft w:val="547"/>
          <w:marRight w:val="0"/>
          <w:marTop w:val="0"/>
          <w:marBottom w:val="0"/>
          <w:divBdr>
            <w:top w:val="none" w:sz="0" w:space="0" w:color="auto"/>
            <w:left w:val="none" w:sz="0" w:space="0" w:color="auto"/>
            <w:bottom w:val="none" w:sz="0" w:space="0" w:color="auto"/>
            <w:right w:val="none" w:sz="0" w:space="0" w:color="auto"/>
          </w:divBdr>
        </w:div>
      </w:divsChild>
    </w:div>
    <w:div w:id="372193503">
      <w:bodyDiv w:val="1"/>
      <w:marLeft w:val="0"/>
      <w:marRight w:val="0"/>
      <w:marTop w:val="0"/>
      <w:marBottom w:val="0"/>
      <w:divBdr>
        <w:top w:val="none" w:sz="0" w:space="0" w:color="auto"/>
        <w:left w:val="none" w:sz="0" w:space="0" w:color="auto"/>
        <w:bottom w:val="none" w:sz="0" w:space="0" w:color="auto"/>
        <w:right w:val="none" w:sz="0" w:space="0" w:color="auto"/>
      </w:divBdr>
      <w:divsChild>
        <w:div w:id="1790977157">
          <w:marLeft w:val="547"/>
          <w:marRight w:val="0"/>
          <w:marTop w:val="0"/>
          <w:marBottom w:val="0"/>
          <w:divBdr>
            <w:top w:val="none" w:sz="0" w:space="0" w:color="auto"/>
            <w:left w:val="none" w:sz="0" w:space="0" w:color="auto"/>
            <w:bottom w:val="none" w:sz="0" w:space="0" w:color="auto"/>
            <w:right w:val="none" w:sz="0" w:space="0" w:color="auto"/>
          </w:divBdr>
        </w:div>
      </w:divsChild>
    </w:div>
    <w:div w:id="452401442">
      <w:bodyDiv w:val="1"/>
      <w:marLeft w:val="0"/>
      <w:marRight w:val="0"/>
      <w:marTop w:val="0"/>
      <w:marBottom w:val="0"/>
      <w:divBdr>
        <w:top w:val="none" w:sz="0" w:space="0" w:color="auto"/>
        <w:left w:val="none" w:sz="0" w:space="0" w:color="auto"/>
        <w:bottom w:val="none" w:sz="0" w:space="0" w:color="auto"/>
        <w:right w:val="none" w:sz="0" w:space="0" w:color="auto"/>
      </w:divBdr>
      <w:divsChild>
        <w:div w:id="534777447">
          <w:marLeft w:val="547"/>
          <w:marRight w:val="0"/>
          <w:marTop w:val="0"/>
          <w:marBottom w:val="0"/>
          <w:divBdr>
            <w:top w:val="none" w:sz="0" w:space="0" w:color="auto"/>
            <w:left w:val="none" w:sz="0" w:space="0" w:color="auto"/>
            <w:bottom w:val="none" w:sz="0" w:space="0" w:color="auto"/>
            <w:right w:val="none" w:sz="0" w:space="0" w:color="auto"/>
          </w:divBdr>
        </w:div>
      </w:divsChild>
    </w:div>
    <w:div w:id="457184404">
      <w:bodyDiv w:val="1"/>
      <w:marLeft w:val="0"/>
      <w:marRight w:val="0"/>
      <w:marTop w:val="0"/>
      <w:marBottom w:val="0"/>
      <w:divBdr>
        <w:top w:val="none" w:sz="0" w:space="0" w:color="auto"/>
        <w:left w:val="none" w:sz="0" w:space="0" w:color="auto"/>
        <w:bottom w:val="none" w:sz="0" w:space="0" w:color="auto"/>
        <w:right w:val="none" w:sz="0" w:space="0" w:color="auto"/>
      </w:divBdr>
      <w:divsChild>
        <w:div w:id="2010524225">
          <w:marLeft w:val="547"/>
          <w:marRight w:val="0"/>
          <w:marTop w:val="0"/>
          <w:marBottom w:val="0"/>
          <w:divBdr>
            <w:top w:val="none" w:sz="0" w:space="0" w:color="auto"/>
            <w:left w:val="none" w:sz="0" w:space="0" w:color="auto"/>
            <w:bottom w:val="none" w:sz="0" w:space="0" w:color="auto"/>
            <w:right w:val="none" w:sz="0" w:space="0" w:color="auto"/>
          </w:divBdr>
        </w:div>
      </w:divsChild>
    </w:div>
    <w:div w:id="634216576">
      <w:bodyDiv w:val="1"/>
      <w:marLeft w:val="0"/>
      <w:marRight w:val="0"/>
      <w:marTop w:val="0"/>
      <w:marBottom w:val="0"/>
      <w:divBdr>
        <w:top w:val="none" w:sz="0" w:space="0" w:color="auto"/>
        <w:left w:val="none" w:sz="0" w:space="0" w:color="auto"/>
        <w:bottom w:val="none" w:sz="0" w:space="0" w:color="auto"/>
        <w:right w:val="none" w:sz="0" w:space="0" w:color="auto"/>
      </w:divBdr>
      <w:divsChild>
        <w:div w:id="846290037">
          <w:marLeft w:val="547"/>
          <w:marRight w:val="0"/>
          <w:marTop w:val="0"/>
          <w:marBottom w:val="0"/>
          <w:divBdr>
            <w:top w:val="none" w:sz="0" w:space="0" w:color="auto"/>
            <w:left w:val="none" w:sz="0" w:space="0" w:color="auto"/>
            <w:bottom w:val="none" w:sz="0" w:space="0" w:color="auto"/>
            <w:right w:val="none" w:sz="0" w:space="0" w:color="auto"/>
          </w:divBdr>
        </w:div>
      </w:divsChild>
    </w:div>
    <w:div w:id="650794317">
      <w:bodyDiv w:val="1"/>
      <w:marLeft w:val="0"/>
      <w:marRight w:val="0"/>
      <w:marTop w:val="0"/>
      <w:marBottom w:val="0"/>
      <w:divBdr>
        <w:top w:val="none" w:sz="0" w:space="0" w:color="auto"/>
        <w:left w:val="none" w:sz="0" w:space="0" w:color="auto"/>
        <w:bottom w:val="none" w:sz="0" w:space="0" w:color="auto"/>
        <w:right w:val="none" w:sz="0" w:space="0" w:color="auto"/>
      </w:divBdr>
      <w:divsChild>
        <w:div w:id="1994945053">
          <w:marLeft w:val="547"/>
          <w:marRight w:val="0"/>
          <w:marTop w:val="0"/>
          <w:marBottom w:val="0"/>
          <w:divBdr>
            <w:top w:val="none" w:sz="0" w:space="0" w:color="auto"/>
            <w:left w:val="none" w:sz="0" w:space="0" w:color="auto"/>
            <w:bottom w:val="none" w:sz="0" w:space="0" w:color="auto"/>
            <w:right w:val="none" w:sz="0" w:space="0" w:color="auto"/>
          </w:divBdr>
        </w:div>
        <w:div w:id="659769323">
          <w:marLeft w:val="547"/>
          <w:marRight w:val="0"/>
          <w:marTop w:val="0"/>
          <w:marBottom w:val="0"/>
          <w:divBdr>
            <w:top w:val="none" w:sz="0" w:space="0" w:color="auto"/>
            <w:left w:val="none" w:sz="0" w:space="0" w:color="auto"/>
            <w:bottom w:val="none" w:sz="0" w:space="0" w:color="auto"/>
            <w:right w:val="none" w:sz="0" w:space="0" w:color="auto"/>
          </w:divBdr>
        </w:div>
        <w:div w:id="371268524">
          <w:marLeft w:val="1166"/>
          <w:marRight w:val="0"/>
          <w:marTop w:val="0"/>
          <w:marBottom w:val="0"/>
          <w:divBdr>
            <w:top w:val="none" w:sz="0" w:space="0" w:color="auto"/>
            <w:left w:val="none" w:sz="0" w:space="0" w:color="auto"/>
            <w:bottom w:val="none" w:sz="0" w:space="0" w:color="auto"/>
            <w:right w:val="none" w:sz="0" w:space="0" w:color="auto"/>
          </w:divBdr>
        </w:div>
      </w:divsChild>
    </w:div>
    <w:div w:id="811293571">
      <w:bodyDiv w:val="1"/>
      <w:marLeft w:val="0"/>
      <w:marRight w:val="0"/>
      <w:marTop w:val="0"/>
      <w:marBottom w:val="0"/>
      <w:divBdr>
        <w:top w:val="none" w:sz="0" w:space="0" w:color="auto"/>
        <w:left w:val="none" w:sz="0" w:space="0" w:color="auto"/>
        <w:bottom w:val="none" w:sz="0" w:space="0" w:color="auto"/>
        <w:right w:val="none" w:sz="0" w:space="0" w:color="auto"/>
      </w:divBdr>
      <w:divsChild>
        <w:div w:id="1096100471">
          <w:marLeft w:val="547"/>
          <w:marRight w:val="0"/>
          <w:marTop w:val="0"/>
          <w:marBottom w:val="0"/>
          <w:divBdr>
            <w:top w:val="none" w:sz="0" w:space="0" w:color="auto"/>
            <w:left w:val="none" w:sz="0" w:space="0" w:color="auto"/>
            <w:bottom w:val="none" w:sz="0" w:space="0" w:color="auto"/>
            <w:right w:val="none" w:sz="0" w:space="0" w:color="auto"/>
          </w:divBdr>
        </w:div>
      </w:divsChild>
    </w:div>
    <w:div w:id="814645009">
      <w:bodyDiv w:val="1"/>
      <w:marLeft w:val="0"/>
      <w:marRight w:val="0"/>
      <w:marTop w:val="0"/>
      <w:marBottom w:val="0"/>
      <w:divBdr>
        <w:top w:val="none" w:sz="0" w:space="0" w:color="auto"/>
        <w:left w:val="none" w:sz="0" w:space="0" w:color="auto"/>
        <w:bottom w:val="none" w:sz="0" w:space="0" w:color="auto"/>
        <w:right w:val="none" w:sz="0" w:space="0" w:color="auto"/>
      </w:divBdr>
      <w:divsChild>
        <w:div w:id="1872106485">
          <w:marLeft w:val="547"/>
          <w:marRight w:val="0"/>
          <w:marTop w:val="0"/>
          <w:marBottom w:val="0"/>
          <w:divBdr>
            <w:top w:val="none" w:sz="0" w:space="0" w:color="auto"/>
            <w:left w:val="none" w:sz="0" w:space="0" w:color="auto"/>
            <w:bottom w:val="none" w:sz="0" w:space="0" w:color="auto"/>
            <w:right w:val="none" w:sz="0" w:space="0" w:color="auto"/>
          </w:divBdr>
        </w:div>
      </w:divsChild>
    </w:div>
    <w:div w:id="928006338">
      <w:bodyDiv w:val="1"/>
      <w:marLeft w:val="0"/>
      <w:marRight w:val="0"/>
      <w:marTop w:val="0"/>
      <w:marBottom w:val="0"/>
      <w:divBdr>
        <w:top w:val="none" w:sz="0" w:space="0" w:color="auto"/>
        <w:left w:val="none" w:sz="0" w:space="0" w:color="auto"/>
        <w:bottom w:val="none" w:sz="0" w:space="0" w:color="auto"/>
        <w:right w:val="none" w:sz="0" w:space="0" w:color="auto"/>
      </w:divBdr>
      <w:divsChild>
        <w:div w:id="1827471782">
          <w:marLeft w:val="547"/>
          <w:marRight w:val="0"/>
          <w:marTop w:val="0"/>
          <w:marBottom w:val="0"/>
          <w:divBdr>
            <w:top w:val="none" w:sz="0" w:space="0" w:color="auto"/>
            <w:left w:val="none" w:sz="0" w:space="0" w:color="auto"/>
            <w:bottom w:val="none" w:sz="0" w:space="0" w:color="auto"/>
            <w:right w:val="none" w:sz="0" w:space="0" w:color="auto"/>
          </w:divBdr>
        </w:div>
      </w:divsChild>
    </w:div>
    <w:div w:id="957638910">
      <w:bodyDiv w:val="1"/>
      <w:marLeft w:val="0"/>
      <w:marRight w:val="0"/>
      <w:marTop w:val="0"/>
      <w:marBottom w:val="0"/>
      <w:divBdr>
        <w:top w:val="none" w:sz="0" w:space="0" w:color="auto"/>
        <w:left w:val="none" w:sz="0" w:space="0" w:color="auto"/>
        <w:bottom w:val="none" w:sz="0" w:space="0" w:color="auto"/>
        <w:right w:val="none" w:sz="0" w:space="0" w:color="auto"/>
      </w:divBdr>
      <w:divsChild>
        <w:div w:id="998651085">
          <w:marLeft w:val="547"/>
          <w:marRight w:val="0"/>
          <w:marTop w:val="0"/>
          <w:marBottom w:val="0"/>
          <w:divBdr>
            <w:top w:val="none" w:sz="0" w:space="0" w:color="auto"/>
            <w:left w:val="none" w:sz="0" w:space="0" w:color="auto"/>
            <w:bottom w:val="none" w:sz="0" w:space="0" w:color="auto"/>
            <w:right w:val="none" w:sz="0" w:space="0" w:color="auto"/>
          </w:divBdr>
        </w:div>
      </w:divsChild>
    </w:div>
    <w:div w:id="1036614807">
      <w:bodyDiv w:val="1"/>
      <w:marLeft w:val="0"/>
      <w:marRight w:val="0"/>
      <w:marTop w:val="0"/>
      <w:marBottom w:val="0"/>
      <w:divBdr>
        <w:top w:val="none" w:sz="0" w:space="0" w:color="auto"/>
        <w:left w:val="none" w:sz="0" w:space="0" w:color="auto"/>
        <w:bottom w:val="none" w:sz="0" w:space="0" w:color="auto"/>
        <w:right w:val="none" w:sz="0" w:space="0" w:color="auto"/>
      </w:divBdr>
      <w:divsChild>
        <w:div w:id="290333053">
          <w:marLeft w:val="547"/>
          <w:marRight w:val="0"/>
          <w:marTop w:val="0"/>
          <w:marBottom w:val="0"/>
          <w:divBdr>
            <w:top w:val="none" w:sz="0" w:space="0" w:color="auto"/>
            <w:left w:val="none" w:sz="0" w:space="0" w:color="auto"/>
            <w:bottom w:val="none" w:sz="0" w:space="0" w:color="auto"/>
            <w:right w:val="none" w:sz="0" w:space="0" w:color="auto"/>
          </w:divBdr>
        </w:div>
      </w:divsChild>
    </w:div>
    <w:div w:id="1160658022">
      <w:bodyDiv w:val="1"/>
      <w:marLeft w:val="0"/>
      <w:marRight w:val="0"/>
      <w:marTop w:val="0"/>
      <w:marBottom w:val="0"/>
      <w:divBdr>
        <w:top w:val="none" w:sz="0" w:space="0" w:color="auto"/>
        <w:left w:val="none" w:sz="0" w:space="0" w:color="auto"/>
        <w:bottom w:val="none" w:sz="0" w:space="0" w:color="auto"/>
        <w:right w:val="none" w:sz="0" w:space="0" w:color="auto"/>
      </w:divBdr>
      <w:divsChild>
        <w:div w:id="2017923181">
          <w:marLeft w:val="547"/>
          <w:marRight w:val="0"/>
          <w:marTop w:val="0"/>
          <w:marBottom w:val="0"/>
          <w:divBdr>
            <w:top w:val="none" w:sz="0" w:space="0" w:color="auto"/>
            <w:left w:val="none" w:sz="0" w:space="0" w:color="auto"/>
            <w:bottom w:val="none" w:sz="0" w:space="0" w:color="auto"/>
            <w:right w:val="none" w:sz="0" w:space="0" w:color="auto"/>
          </w:divBdr>
        </w:div>
      </w:divsChild>
    </w:div>
    <w:div w:id="1207524693">
      <w:bodyDiv w:val="1"/>
      <w:marLeft w:val="0"/>
      <w:marRight w:val="0"/>
      <w:marTop w:val="0"/>
      <w:marBottom w:val="0"/>
      <w:divBdr>
        <w:top w:val="none" w:sz="0" w:space="0" w:color="auto"/>
        <w:left w:val="none" w:sz="0" w:space="0" w:color="auto"/>
        <w:bottom w:val="none" w:sz="0" w:space="0" w:color="auto"/>
        <w:right w:val="none" w:sz="0" w:space="0" w:color="auto"/>
      </w:divBdr>
      <w:divsChild>
        <w:div w:id="2090492156">
          <w:marLeft w:val="547"/>
          <w:marRight w:val="0"/>
          <w:marTop w:val="0"/>
          <w:marBottom w:val="0"/>
          <w:divBdr>
            <w:top w:val="none" w:sz="0" w:space="0" w:color="auto"/>
            <w:left w:val="none" w:sz="0" w:space="0" w:color="auto"/>
            <w:bottom w:val="none" w:sz="0" w:space="0" w:color="auto"/>
            <w:right w:val="none" w:sz="0" w:space="0" w:color="auto"/>
          </w:divBdr>
        </w:div>
      </w:divsChild>
    </w:div>
    <w:div w:id="1319920692">
      <w:bodyDiv w:val="1"/>
      <w:marLeft w:val="0"/>
      <w:marRight w:val="0"/>
      <w:marTop w:val="0"/>
      <w:marBottom w:val="0"/>
      <w:divBdr>
        <w:top w:val="none" w:sz="0" w:space="0" w:color="auto"/>
        <w:left w:val="none" w:sz="0" w:space="0" w:color="auto"/>
        <w:bottom w:val="none" w:sz="0" w:space="0" w:color="auto"/>
        <w:right w:val="none" w:sz="0" w:space="0" w:color="auto"/>
      </w:divBdr>
      <w:divsChild>
        <w:div w:id="696781994">
          <w:marLeft w:val="547"/>
          <w:marRight w:val="0"/>
          <w:marTop w:val="0"/>
          <w:marBottom w:val="0"/>
          <w:divBdr>
            <w:top w:val="none" w:sz="0" w:space="0" w:color="auto"/>
            <w:left w:val="none" w:sz="0" w:space="0" w:color="auto"/>
            <w:bottom w:val="none" w:sz="0" w:space="0" w:color="auto"/>
            <w:right w:val="none" w:sz="0" w:space="0" w:color="auto"/>
          </w:divBdr>
        </w:div>
      </w:divsChild>
    </w:div>
    <w:div w:id="1339383503">
      <w:bodyDiv w:val="1"/>
      <w:marLeft w:val="0"/>
      <w:marRight w:val="0"/>
      <w:marTop w:val="0"/>
      <w:marBottom w:val="0"/>
      <w:divBdr>
        <w:top w:val="none" w:sz="0" w:space="0" w:color="auto"/>
        <w:left w:val="none" w:sz="0" w:space="0" w:color="auto"/>
        <w:bottom w:val="none" w:sz="0" w:space="0" w:color="auto"/>
        <w:right w:val="none" w:sz="0" w:space="0" w:color="auto"/>
      </w:divBdr>
      <w:divsChild>
        <w:div w:id="1655985767">
          <w:marLeft w:val="547"/>
          <w:marRight w:val="0"/>
          <w:marTop w:val="0"/>
          <w:marBottom w:val="0"/>
          <w:divBdr>
            <w:top w:val="none" w:sz="0" w:space="0" w:color="auto"/>
            <w:left w:val="none" w:sz="0" w:space="0" w:color="auto"/>
            <w:bottom w:val="none" w:sz="0" w:space="0" w:color="auto"/>
            <w:right w:val="none" w:sz="0" w:space="0" w:color="auto"/>
          </w:divBdr>
        </w:div>
      </w:divsChild>
    </w:div>
    <w:div w:id="1343052572">
      <w:bodyDiv w:val="1"/>
      <w:marLeft w:val="0"/>
      <w:marRight w:val="0"/>
      <w:marTop w:val="0"/>
      <w:marBottom w:val="0"/>
      <w:divBdr>
        <w:top w:val="none" w:sz="0" w:space="0" w:color="auto"/>
        <w:left w:val="none" w:sz="0" w:space="0" w:color="auto"/>
        <w:bottom w:val="none" w:sz="0" w:space="0" w:color="auto"/>
        <w:right w:val="none" w:sz="0" w:space="0" w:color="auto"/>
      </w:divBdr>
      <w:divsChild>
        <w:div w:id="1518234110">
          <w:marLeft w:val="547"/>
          <w:marRight w:val="0"/>
          <w:marTop w:val="0"/>
          <w:marBottom w:val="0"/>
          <w:divBdr>
            <w:top w:val="none" w:sz="0" w:space="0" w:color="auto"/>
            <w:left w:val="none" w:sz="0" w:space="0" w:color="auto"/>
            <w:bottom w:val="none" w:sz="0" w:space="0" w:color="auto"/>
            <w:right w:val="none" w:sz="0" w:space="0" w:color="auto"/>
          </w:divBdr>
        </w:div>
      </w:divsChild>
    </w:div>
    <w:div w:id="1501195324">
      <w:bodyDiv w:val="1"/>
      <w:marLeft w:val="0"/>
      <w:marRight w:val="0"/>
      <w:marTop w:val="0"/>
      <w:marBottom w:val="0"/>
      <w:divBdr>
        <w:top w:val="none" w:sz="0" w:space="0" w:color="auto"/>
        <w:left w:val="none" w:sz="0" w:space="0" w:color="auto"/>
        <w:bottom w:val="none" w:sz="0" w:space="0" w:color="auto"/>
        <w:right w:val="none" w:sz="0" w:space="0" w:color="auto"/>
      </w:divBdr>
      <w:divsChild>
        <w:div w:id="339743704">
          <w:marLeft w:val="547"/>
          <w:marRight w:val="0"/>
          <w:marTop w:val="0"/>
          <w:marBottom w:val="0"/>
          <w:divBdr>
            <w:top w:val="none" w:sz="0" w:space="0" w:color="auto"/>
            <w:left w:val="none" w:sz="0" w:space="0" w:color="auto"/>
            <w:bottom w:val="none" w:sz="0" w:space="0" w:color="auto"/>
            <w:right w:val="none" w:sz="0" w:space="0" w:color="auto"/>
          </w:divBdr>
        </w:div>
      </w:divsChild>
    </w:div>
    <w:div w:id="1520435632">
      <w:bodyDiv w:val="1"/>
      <w:marLeft w:val="0"/>
      <w:marRight w:val="0"/>
      <w:marTop w:val="0"/>
      <w:marBottom w:val="0"/>
      <w:divBdr>
        <w:top w:val="none" w:sz="0" w:space="0" w:color="auto"/>
        <w:left w:val="none" w:sz="0" w:space="0" w:color="auto"/>
        <w:bottom w:val="none" w:sz="0" w:space="0" w:color="auto"/>
        <w:right w:val="none" w:sz="0" w:space="0" w:color="auto"/>
      </w:divBdr>
      <w:divsChild>
        <w:div w:id="996150489">
          <w:marLeft w:val="547"/>
          <w:marRight w:val="0"/>
          <w:marTop w:val="0"/>
          <w:marBottom w:val="0"/>
          <w:divBdr>
            <w:top w:val="none" w:sz="0" w:space="0" w:color="auto"/>
            <w:left w:val="none" w:sz="0" w:space="0" w:color="auto"/>
            <w:bottom w:val="none" w:sz="0" w:space="0" w:color="auto"/>
            <w:right w:val="none" w:sz="0" w:space="0" w:color="auto"/>
          </w:divBdr>
        </w:div>
      </w:divsChild>
    </w:div>
    <w:div w:id="1801607464">
      <w:bodyDiv w:val="1"/>
      <w:marLeft w:val="0"/>
      <w:marRight w:val="0"/>
      <w:marTop w:val="0"/>
      <w:marBottom w:val="0"/>
      <w:divBdr>
        <w:top w:val="none" w:sz="0" w:space="0" w:color="auto"/>
        <w:left w:val="none" w:sz="0" w:space="0" w:color="auto"/>
        <w:bottom w:val="none" w:sz="0" w:space="0" w:color="auto"/>
        <w:right w:val="none" w:sz="0" w:space="0" w:color="auto"/>
      </w:divBdr>
      <w:divsChild>
        <w:div w:id="58478333">
          <w:marLeft w:val="547"/>
          <w:marRight w:val="0"/>
          <w:marTop w:val="0"/>
          <w:marBottom w:val="0"/>
          <w:divBdr>
            <w:top w:val="none" w:sz="0" w:space="0" w:color="auto"/>
            <w:left w:val="none" w:sz="0" w:space="0" w:color="auto"/>
            <w:bottom w:val="none" w:sz="0" w:space="0" w:color="auto"/>
            <w:right w:val="none" w:sz="0" w:space="0" w:color="auto"/>
          </w:divBdr>
        </w:div>
      </w:divsChild>
    </w:div>
    <w:div w:id="1805656572">
      <w:bodyDiv w:val="1"/>
      <w:marLeft w:val="0"/>
      <w:marRight w:val="0"/>
      <w:marTop w:val="0"/>
      <w:marBottom w:val="0"/>
      <w:divBdr>
        <w:top w:val="none" w:sz="0" w:space="0" w:color="auto"/>
        <w:left w:val="none" w:sz="0" w:space="0" w:color="auto"/>
        <w:bottom w:val="none" w:sz="0" w:space="0" w:color="auto"/>
        <w:right w:val="none" w:sz="0" w:space="0" w:color="auto"/>
      </w:divBdr>
      <w:divsChild>
        <w:div w:id="2031368385">
          <w:marLeft w:val="547"/>
          <w:marRight w:val="0"/>
          <w:marTop w:val="0"/>
          <w:marBottom w:val="0"/>
          <w:divBdr>
            <w:top w:val="none" w:sz="0" w:space="0" w:color="auto"/>
            <w:left w:val="none" w:sz="0" w:space="0" w:color="auto"/>
            <w:bottom w:val="none" w:sz="0" w:space="0" w:color="auto"/>
            <w:right w:val="none" w:sz="0" w:space="0" w:color="auto"/>
          </w:divBdr>
        </w:div>
      </w:divsChild>
    </w:div>
    <w:div w:id="1834711964">
      <w:bodyDiv w:val="1"/>
      <w:marLeft w:val="0"/>
      <w:marRight w:val="0"/>
      <w:marTop w:val="0"/>
      <w:marBottom w:val="0"/>
      <w:divBdr>
        <w:top w:val="none" w:sz="0" w:space="0" w:color="auto"/>
        <w:left w:val="none" w:sz="0" w:space="0" w:color="auto"/>
        <w:bottom w:val="none" w:sz="0" w:space="0" w:color="auto"/>
        <w:right w:val="none" w:sz="0" w:space="0" w:color="auto"/>
      </w:divBdr>
      <w:divsChild>
        <w:div w:id="2114008327">
          <w:marLeft w:val="547"/>
          <w:marRight w:val="0"/>
          <w:marTop w:val="0"/>
          <w:marBottom w:val="0"/>
          <w:divBdr>
            <w:top w:val="none" w:sz="0" w:space="0" w:color="auto"/>
            <w:left w:val="none" w:sz="0" w:space="0" w:color="auto"/>
            <w:bottom w:val="none" w:sz="0" w:space="0" w:color="auto"/>
            <w:right w:val="none" w:sz="0" w:space="0" w:color="auto"/>
          </w:divBdr>
        </w:div>
      </w:divsChild>
    </w:div>
    <w:div w:id="1851214929">
      <w:bodyDiv w:val="1"/>
      <w:marLeft w:val="0"/>
      <w:marRight w:val="0"/>
      <w:marTop w:val="0"/>
      <w:marBottom w:val="0"/>
      <w:divBdr>
        <w:top w:val="none" w:sz="0" w:space="0" w:color="auto"/>
        <w:left w:val="none" w:sz="0" w:space="0" w:color="auto"/>
        <w:bottom w:val="none" w:sz="0" w:space="0" w:color="auto"/>
        <w:right w:val="none" w:sz="0" w:space="0" w:color="auto"/>
      </w:divBdr>
      <w:divsChild>
        <w:div w:id="1458140835">
          <w:marLeft w:val="547"/>
          <w:marRight w:val="0"/>
          <w:marTop w:val="0"/>
          <w:marBottom w:val="0"/>
          <w:divBdr>
            <w:top w:val="none" w:sz="0" w:space="0" w:color="auto"/>
            <w:left w:val="none" w:sz="0" w:space="0" w:color="auto"/>
            <w:bottom w:val="none" w:sz="0" w:space="0" w:color="auto"/>
            <w:right w:val="none" w:sz="0" w:space="0" w:color="auto"/>
          </w:divBdr>
        </w:div>
      </w:divsChild>
    </w:div>
    <w:div w:id="1910001177">
      <w:bodyDiv w:val="1"/>
      <w:marLeft w:val="0"/>
      <w:marRight w:val="0"/>
      <w:marTop w:val="0"/>
      <w:marBottom w:val="0"/>
      <w:divBdr>
        <w:top w:val="none" w:sz="0" w:space="0" w:color="auto"/>
        <w:left w:val="none" w:sz="0" w:space="0" w:color="auto"/>
        <w:bottom w:val="none" w:sz="0" w:space="0" w:color="auto"/>
        <w:right w:val="none" w:sz="0" w:space="0" w:color="auto"/>
      </w:divBdr>
      <w:divsChild>
        <w:div w:id="215434141">
          <w:marLeft w:val="547"/>
          <w:marRight w:val="0"/>
          <w:marTop w:val="0"/>
          <w:marBottom w:val="0"/>
          <w:divBdr>
            <w:top w:val="none" w:sz="0" w:space="0" w:color="auto"/>
            <w:left w:val="none" w:sz="0" w:space="0" w:color="auto"/>
            <w:bottom w:val="none" w:sz="0" w:space="0" w:color="auto"/>
            <w:right w:val="none" w:sz="0" w:space="0" w:color="auto"/>
          </w:divBdr>
        </w:div>
      </w:divsChild>
    </w:div>
    <w:div w:id="1939868102">
      <w:bodyDiv w:val="1"/>
      <w:marLeft w:val="0"/>
      <w:marRight w:val="0"/>
      <w:marTop w:val="0"/>
      <w:marBottom w:val="0"/>
      <w:divBdr>
        <w:top w:val="none" w:sz="0" w:space="0" w:color="auto"/>
        <w:left w:val="none" w:sz="0" w:space="0" w:color="auto"/>
        <w:bottom w:val="none" w:sz="0" w:space="0" w:color="auto"/>
        <w:right w:val="none" w:sz="0" w:space="0" w:color="auto"/>
      </w:divBdr>
      <w:divsChild>
        <w:div w:id="1276060417">
          <w:marLeft w:val="547"/>
          <w:marRight w:val="0"/>
          <w:marTop w:val="0"/>
          <w:marBottom w:val="0"/>
          <w:divBdr>
            <w:top w:val="none" w:sz="0" w:space="0" w:color="auto"/>
            <w:left w:val="none" w:sz="0" w:space="0" w:color="auto"/>
            <w:bottom w:val="none" w:sz="0" w:space="0" w:color="auto"/>
            <w:right w:val="none" w:sz="0" w:space="0" w:color="auto"/>
          </w:divBdr>
        </w:div>
      </w:divsChild>
    </w:div>
    <w:div w:id="1995060834">
      <w:bodyDiv w:val="1"/>
      <w:marLeft w:val="0"/>
      <w:marRight w:val="0"/>
      <w:marTop w:val="0"/>
      <w:marBottom w:val="0"/>
      <w:divBdr>
        <w:top w:val="none" w:sz="0" w:space="0" w:color="auto"/>
        <w:left w:val="none" w:sz="0" w:space="0" w:color="auto"/>
        <w:bottom w:val="none" w:sz="0" w:space="0" w:color="auto"/>
        <w:right w:val="none" w:sz="0" w:space="0" w:color="auto"/>
      </w:divBdr>
      <w:divsChild>
        <w:div w:id="350646760">
          <w:marLeft w:val="547"/>
          <w:marRight w:val="0"/>
          <w:marTop w:val="0"/>
          <w:marBottom w:val="0"/>
          <w:divBdr>
            <w:top w:val="none" w:sz="0" w:space="0" w:color="auto"/>
            <w:left w:val="none" w:sz="0" w:space="0" w:color="auto"/>
            <w:bottom w:val="none" w:sz="0" w:space="0" w:color="auto"/>
            <w:right w:val="none" w:sz="0" w:space="0" w:color="auto"/>
          </w:divBdr>
        </w:div>
      </w:divsChild>
    </w:div>
    <w:div w:id="2048487600">
      <w:bodyDiv w:val="1"/>
      <w:marLeft w:val="0"/>
      <w:marRight w:val="0"/>
      <w:marTop w:val="0"/>
      <w:marBottom w:val="0"/>
      <w:divBdr>
        <w:top w:val="none" w:sz="0" w:space="0" w:color="auto"/>
        <w:left w:val="none" w:sz="0" w:space="0" w:color="auto"/>
        <w:bottom w:val="none" w:sz="0" w:space="0" w:color="auto"/>
        <w:right w:val="none" w:sz="0" w:space="0" w:color="auto"/>
      </w:divBdr>
      <w:divsChild>
        <w:div w:id="49622843">
          <w:marLeft w:val="547"/>
          <w:marRight w:val="0"/>
          <w:marTop w:val="0"/>
          <w:marBottom w:val="0"/>
          <w:divBdr>
            <w:top w:val="none" w:sz="0" w:space="0" w:color="auto"/>
            <w:left w:val="none" w:sz="0" w:space="0" w:color="auto"/>
            <w:bottom w:val="none" w:sz="0" w:space="0" w:color="auto"/>
            <w:right w:val="none" w:sz="0" w:space="0" w:color="auto"/>
          </w:divBdr>
        </w:div>
      </w:divsChild>
    </w:div>
    <w:div w:id="2077122573">
      <w:bodyDiv w:val="1"/>
      <w:marLeft w:val="0"/>
      <w:marRight w:val="0"/>
      <w:marTop w:val="0"/>
      <w:marBottom w:val="0"/>
      <w:divBdr>
        <w:top w:val="none" w:sz="0" w:space="0" w:color="auto"/>
        <w:left w:val="none" w:sz="0" w:space="0" w:color="auto"/>
        <w:bottom w:val="none" w:sz="0" w:space="0" w:color="auto"/>
        <w:right w:val="none" w:sz="0" w:space="0" w:color="auto"/>
      </w:divBdr>
      <w:divsChild>
        <w:div w:id="451216278">
          <w:marLeft w:val="547"/>
          <w:marRight w:val="0"/>
          <w:marTop w:val="0"/>
          <w:marBottom w:val="0"/>
          <w:divBdr>
            <w:top w:val="none" w:sz="0" w:space="0" w:color="auto"/>
            <w:left w:val="none" w:sz="0" w:space="0" w:color="auto"/>
            <w:bottom w:val="none" w:sz="0" w:space="0" w:color="auto"/>
            <w:right w:val="none" w:sz="0" w:space="0" w:color="auto"/>
          </w:divBdr>
        </w:div>
        <w:div w:id="1361122132">
          <w:marLeft w:val="547"/>
          <w:marRight w:val="0"/>
          <w:marTop w:val="0"/>
          <w:marBottom w:val="0"/>
          <w:divBdr>
            <w:top w:val="none" w:sz="0" w:space="0" w:color="auto"/>
            <w:left w:val="none" w:sz="0" w:space="0" w:color="auto"/>
            <w:bottom w:val="none" w:sz="0" w:space="0" w:color="auto"/>
            <w:right w:val="none" w:sz="0" w:space="0" w:color="auto"/>
          </w:divBdr>
        </w:div>
      </w:divsChild>
    </w:div>
    <w:div w:id="2085225193">
      <w:bodyDiv w:val="1"/>
      <w:marLeft w:val="0"/>
      <w:marRight w:val="0"/>
      <w:marTop w:val="0"/>
      <w:marBottom w:val="0"/>
      <w:divBdr>
        <w:top w:val="none" w:sz="0" w:space="0" w:color="auto"/>
        <w:left w:val="none" w:sz="0" w:space="0" w:color="auto"/>
        <w:bottom w:val="none" w:sz="0" w:space="0" w:color="auto"/>
        <w:right w:val="none" w:sz="0" w:space="0" w:color="auto"/>
      </w:divBdr>
      <w:divsChild>
        <w:div w:id="383405221">
          <w:marLeft w:val="547"/>
          <w:marRight w:val="0"/>
          <w:marTop w:val="0"/>
          <w:marBottom w:val="0"/>
          <w:divBdr>
            <w:top w:val="none" w:sz="0" w:space="0" w:color="auto"/>
            <w:left w:val="none" w:sz="0" w:space="0" w:color="auto"/>
            <w:bottom w:val="none" w:sz="0" w:space="0" w:color="auto"/>
            <w:right w:val="none" w:sz="0" w:space="0" w:color="auto"/>
          </w:divBdr>
        </w:div>
        <w:div w:id="411006441">
          <w:marLeft w:val="547"/>
          <w:marRight w:val="0"/>
          <w:marTop w:val="0"/>
          <w:marBottom w:val="0"/>
          <w:divBdr>
            <w:top w:val="none" w:sz="0" w:space="0" w:color="auto"/>
            <w:left w:val="none" w:sz="0" w:space="0" w:color="auto"/>
            <w:bottom w:val="none" w:sz="0" w:space="0" w:color="auto"/>
            <w:right w:val="none" w:sz="0" w:space="0" w:color="auto"/>
          </w:divBdr>
        </w:div>
        <w:div w:id="529681391">
          <w:marLeft w:val="547"/>
          <w:marRight w:val="0"/>
          <w:marTop w:val="0"/>
          <w:marBottom w:val="0"/>
          <w:divBdr>
            <w:top w:val="none" w:sz="0" w:space="0" w:color="auto"/>
            <w:left w:val="none" w:sz="0" w:space="0" w:color="auto"/>
            <w:bottom w:val="none" w:sz="0" w:space="0" w:color="auto"/>
            <w:right w:val="none" w:sz="0" w:space="0" w:color="auto"/>
          </w:divBdr>
        </w:div>
        <w:div w:id="1532455646">
          <w:marLeft w:val="547"/>
          <w:marRight w:val="0"/>
          <w:marTop w:val="0"/>
          <w:marBottom w:val="0"/>
          <w:divBdr>
            <w:top w:val="none" w:sz="0" w:space="0" w:color="auto"/>
            <w:left w:val="none" w:sz="0" w:space="0" w:color="auto"/>
            <w:bottom w:val="none" w:sz="0" w:space="0" w:color="auto"/>
            <w:right w:val="none" w:sz="0" w:space="0" w:color="auto"/>
          </w:divBdr>
        </w:div>
        <w:div w:id="1262956847">
          <w:marLeft w:val="547"/>
          <w:marRight w:val="0"/>
          <w:marTop w:val="0"/>
          <w:marBottom w:val="0"/>
          <w:divBdr>
            <w:top w:val="none" w:sz="0" w:space="0" w:color="auto"/>
            <w:left w:val="none" w:sz="0" w:space="0" w:color="auto"/>
            <w:bottom w:val="none" w:sz="0" w:space="0" w:color="auto"/>
            <w:right w:val="none" w:sz="0" w:space="0" w:color="auto"/>
          </w:divBdr>
        </w:div>
        <w:div w:id="769666828">
          <w:marLeft w:val="547"/>
          <w:marRight w:val="0"/>
          <w:marTop w:val="0"/>
          <w:marBottom w:val="0"/>
          <w:divBdr>
            <w:top w:val="none" w:sz="0" w:space="0" w:color="auto"/>
            <w:left w:val="none" w:sz="0" w:space="0" w:color="auto"/>
            <w:bottom w:val="none" w:sz="0" w:space="0" w:color="auto"/>
            <w:right w:val="none" w:sz="0" w:space="0" w:color="auto"/>
          </w:divBdr>
        </w:div>
      </w:divsChild>
    </w:div>
    <w:div w:id="2094275548">
      <w:bodyDiv w:val="1"/>
      <w:marLeft w:val="0"/>
      <w:marRight w:val="0"/>
      <w:marTop w:val="0"/>
      <w:marBottom w:val="0"/>
      <w:divBdr>
        <w:top w:val="none" w:sz="0" w:space="0" w:color="auto"/>
        <w:left w:val="none" w:sz="0" w:space="0" w:color="auto"/>
        <w:bottom w:val="none" w:sz="0" w:space="0" w:color="auto"/>
        <w:right w:val="none" w:sz="0" w:space="0" w:color="auto"/>
      </w:divBdr>
      <w:divsChild>
        <w:div w:id="716902381">
          <w:marLeft w:val="547"/>
          <w:marRight w:val="0"/>
          <w:marTop w:val="0"/>
          <w:marBottom w:val="0"/>
          <w:divBdr>
            <w:top w:val="none" w:sz="0" w:space="0" w:color="auto"/>
            <w:left w:val="none" w:sz="0" w:space="0" w:color="auto"/>
            <w:bottom w:val="none" w:sz="0" w:space="0" w:color="auto"/>
            <w:right w:val="none" w:sz="0" w:space="0" w:color="auto"/>
          </w:divBdr>
        </w:div>
      </w:divsChild>
    </w:div>
    <w:div w:id="2104302235">
      <w:bodyDiv w:val="1"/>
      <w:marLeft w:val="0"/>
      <w:marRight w:val="0"/>
      <w:marTop w:val="0"/>
      <w:marBottom w:val="0"/>
      <w:divBdr>
        <w:top w:val="none" w:sz="0" w:space="0" w:color="auto"/>
        <w:left w:val="none" w:sz="0" w:space="0" w:color="auto"/>
        <w:bottom w:val="none" w:sz="0" w:space="0" w:color="auto"/>
        <w:right w:val="none" w:sz="0" w:space="0" w:color="auto"/>
      </w:divBdr>
      <w:divsChild>
        <w:div w:id="7600268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eydj.com/KMDJ/wiki/WikiViewer.aspx?Title=%u4EA4%u6613%u5546" TargetMode="External"/><Relationship Id="rId13" Type="http://schemas.openxmlformats.org/officeDocument/2006/relationships/hyperlink" Target="https://www.moneydj.com/KMDJ/wiki/WikiViewer.aspx?Title=%u57FA%u5DEE" TargetMode="External"/><Relationship Id="rId18" Type="http://schemas.openxmlformats.org/officeDocument/2006/relationships/image" Target="media/image4.jpg"/><Relationship Id="rId26" Type="http://schemas.openxmlformats.org/officeDocument/2006/relationships/hyperlink" Target="https://www.moneydj.com/KMDJ/wiki/WikiViewer.aspx?Title=%u96C6%u4E2D%u5E02%u583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s://zh.wikipedia.org/wiki/%E9%83%A8%E4%BD%8D_(%E6%9C%9F%E8%B2%A8)" TargetMode="External"/><Relationship Id="rId7" Type="http://schemas.openxmlformats.org/officeDocument/2006/relationships/hyperlink" Target="https://www.moneydj.com/KMDJ/wiki/WikiViewer.aspx?Title=%u96C6%u4E2D%u5E02%u5834" TargetMode="Externa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hyperlink" Target="https://zh.wikipedia.org/wiki/%E7%A9%BA%E9%A0%AD" TargetMode="External"/><Relationship Id="rId38" Type="http://schemas.openxmlformats.org/officeDocument/2006/relationships/hyperlink" Target="https://zh.wikipedia.org/wiki/%E9%83%A8%E4%BD%8D_(%E6%9C%9F%E8%B2%A8)" TargetMode="Externa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yperlink" Target="https://www.moneydj.com/KMDJ/wiki/WikiViewer.aspx?Title=%u7D93%u7D00%u4E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eydj.com/KMDJ/wiki/WikiViewer.aspx?Title=%u8B49%u5238" TargetMode="External"/><Relationship Id="rId24" Type="http://schemas.openxmlformats.org/officeDocument/2006/relationships/image" Target="media/image10.jpg"/><Relationship Id="rId32" Type="http://schemas.openxmlformats.org/officeDocument/2006/relationships/hyperlink" Target="https://zh.wikipedia.org/wiki/%E6%9C%9F%E8%B2%A8" TargetMode="External"/><Relationship Id="rId37" Type="http://schemas.openxmlformats.org/officeDocument/2006/relationships/hyperlink" Target="https://zh.wikipedia.org/wiki/%E5%A4%9A%E5%A4%B4"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oneydj.com/KMDJ/wiki/WikiViewer.aspx?Title=%u50F9%u5DEE" TargetMode="External"/><Relationship Id="rId23" Type="http://schemas.openxmlformats.org/officeDocument/2006/relationships/image" Target="media/image9.jpg"/><Relationship Id="rId28" Type="http://schemas.openxmlformats.org/officeDocument/2006/relationships/hyperlink" Target="https://www.moneydj.com/KMDJ/wiki/WikiViewer.aspx?Title=%u4EBA%u5DE5%u64AE%u5408" TargetMode="External"/><Relationship Id="rId36" Type="http://schemas.openxmlformats.org/officeDocument/2006/relationships/hyperlink" Target="https://zh.wikipedia.org/wiki/%E5%A5%91%E7%B4%84" TargetMode="External"/><Relationship Id="rId10" Type="http://schemas.openxmlformats.org/officeDocument/2006/relationships/hyperlink" Target="https://www.moneydj.com/KMDJ/wiki/WikiViewer.aspx?Title=%u7D93%u7D00%u4EBA" TargetMode="External"/><Relationship Id="rId19" Type="http://schemas.openxmlformats.org/officeDocument/2006/relationships/image" Target="media/image5.jpg"/><Relationship Id="rId31" Type="http://schemas.openxmlformats.org/officeDocument/2006/relationships/hyperlink" Target="https://zh.wikipedia.org/wiki/%E8%AD%89%E5%88%B8" TargetMode="External"/><Relationship Id="rId4" Type="http://schemas.openxmlformats.org/officeDocument/2006/relationships/webSettings" Target="webSettings.xml"/><Relationship Id="rId9" Type="http://schemas.openxmlformats.org/officeDocument/2006/relationships/hyperlink" Target="https://www.moneydj.com/KMDJ/wiki/WikiViewer.aspx?Title=%u4EBA%u5DE5%u64AE%u5408" TargetMode="External"/><Relationship Id="rId14" Type="http://schemas.openxmlformats.org/officeDocument/2006/relationships/hyperlink" Target="https://www.moneydj.com/KMDJ/wiki/WikiViewer.aspx?Title=%u671F%u8CA8" TargetMode="External"/><Relationship Id="rId22" Type="http://schemas.openxmlformats.org/officeDocument/2006/relationships/image" Target="media/image8.jpg"/><Relationship Id="rId27" Type="http://schemas.openxmlformats.org/officeDocument/2006/relationships/hyperlink" Target="https://www.moneydj.com/KMDJ/wiki/WikiViewer.aspx?Title=%u4EA4%u6613%u5546" TargetMode="External"/><Relationship Id="rId30" Type="http://schemas.openxmlformats.org/officeDocument/2006/relationships/hyperlink" Target="https://www.moneydj.com/KMDJ/wiki/WikiViewer.aspx?Title=%u8B49%u5238" TargetMode="External"/><Relationship Id="rId35" Type="http://schemas.openxmlformats.org/officeDocument/2006/relationships/hyperlink" Target="https://zh.wikipedia.org/wiki/%E6%8A%95%E8%B3%87%E4%BA%B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2845</Words>
  <Characters>16218</Characters>
  <Application>Microsoft Office Word</Application>
  <DocSecurity>0</DocSecurity>
  <Lines>135</Lines>
  <Paragraphs>38</Paragraphs>
  <ScaleCrop>false</ScaleCrop>
  <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s1525103</cp:lastModifiedBy>
  <cp:revision>2</cp:revision>
  <dcterms:created xsi:type="dcterms:W3CDTF">2020-03-12T04:15:00Z</dcterms:created>
  <dcterms:modified xsi:type="dcterms:W3CDTF">2020-03-12T04:15:00Z</dcterms:modified>
</cp:coreProperties>
</file>