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7"/>
        <w:gridCol w:w="593"/>
      </w:tblGrid>
      <w:tr w:rsidR="00B43299" w14:paraId="33FD584B" w14:textId="77777777" w:rsidTr="00396578">
        <w:trPr>
          <w:trHeight w:val="462"/>
        </w:trPr>
        <w:tc>
          <w:tcPr>
            <w:tcW w:w="10517" w:type="dxa"/>
            <w:gridSpan w:val="3"/>
            <w:shd w:val="clear" w:color="auto" w:fill="FFFF99"/>
          </w:tcPr>
          <w:p w14:paraId="181D3816" w14:textId="428BA617" w:rsidR="00B43299" w:rsidRDefault="00B43299" w:rsidP="00396578">
            <w:pPr>
              <w:pStyle w:val="TableParagraph"/>
              <w:ind w:left="0"/>
              <w:jc w:val="center"/>
              <w:rPr>
                <w:sz w:val="21"/>
                <w:lang w:eastAsia="zh-TW"/>
              </w:rPr>
            </w:pPr>
            <w:r>
              <w:rPr>
                <w:b/>
                <w:sz w:val="21"/>
                <w:lang w:eastAsia="zh-TW"/>
              </w:rPr>
              <w:t>第</w:t>
            </w:r>
            <w:r>
              <w:rPr>
                <w:rFonts w:hint="eastAsia"/>
                <w:b/>
                <w:sz w:val="21"/>
                <w:lang w:eastAsia="zh-TW"/>
              </w:rPr>
              <w:t>七</w:t>
            </w:r>
            <w:r w:rsidRPr="004436A0">
              <w:rPr>
                <w:b/>
                <w:sz w:val="21"/>
                <w:lang w:eastAsia="zh-TW"/>
              </w:rPr>
              <w:t>章</w:t>
            </w:r>
            <w:r>
              <w:rPr>
                <w:rFonts w:hint="eastAsia"/>
                <w:b/>
                <w:sz w:val="21"/>
                <w:lang w:eastAsia="zh-TW"/>
              </w:rPr>
              <w:t>-</w:t>
            </w:r>
            <w:r>
              <w:rPr>
                <w:rFonts w:hint="eastAsia"/>
                <w:b/>
                <w:sz w:val="21"/>
                <w:lang w:eastAsia="zh-TW"/>
              </w:rPr>
              <w:t>2</w:t>
            </w:r>
            <w:r>
              <w:rPr>
                <w:rFonts w:hint="eastAsia"/>
                <w:b/>
                <w:sz w:val="21"/>
                <w:lang w:eastAsia="zh-TW"/>
              </w:rPr>
              <w:t xml:space="preserve"> </w:t>
            </w:r>
            <w:r w:rsidRPr="00B43299">
              <w:rPr>
                <w:rFonts w:hint="eastAsia"/>
                <w:b/>
                <w:sz w:val="21"/>
                <w:lang w:eastAsia="zh-TW"/>
              </w:rPr>
              <w:t>其他衍生之外匯業務</w:t>
            </w:r>
            <w:r w:rsidRPr="004436A0">
              <w:rPr>
                <w:b/>
                <w:sz w:val="21"/>
                <w:lang w:eastAsia="zh-TW"/>
              </w:rPr>
              <w:tab/>
            </w:r>
          </w:p>
        </w:tc>
      </w:tr>
      <w:tr w:rsidR="00B43299" w:rsidRPr="00284B31" w14:paraId="344340BA" w14:textId="77777777" w:rsidTr="00396578">
        <w:trPr>
          <w:trHeight w:val="363"/>
        </w:trPr>
        <w:tc>
          <w:tcPr>
            <w:tcW w:w="567" w:type="dxa"/>
          </w:tcPr>
          <w:p w14:paraId="193106D8" w14:textId="77777777" w:rsidR="00B43299" w:rsidRDefault="00B43299" w:rsidP="00396578">
            <w:pPr>
              <w:pStyle w:val="TableParagraph"/>
              <w:spacing w:before="8"/>
              <w:ind w:left="0"/>
              <w:rPr>
                <w:rFonts w:ascii="Times New Roman"/>
                <w:sz w:val="29"/>
                <w:lang w:eastAsia="zh-TW"/>
              </w:rPr>
            </w:pPr>
            <w:r w:rsidRPr="00284B31">
              <w:rPr>
                <w:rFonts w:ascii="Times New Roman" w:hint="eastAsia"/>
                <w:sz w:val="24"/>
                <w:lang w:eastAsia="zh-TW"/>
              </w:rPr>
              <w:t>題號</w:t>
            </w:r>
          </w:p>
        </w:tc>
        <w:tc>
          <w:tcPr>
            <w:tcW w:w="9357" w:type="dxa"/>
          </w:tcPr>
          <w:p w14:paraId="08E05EE5" w14:textId="77777777" w:rsidR="00B43299" w:rsidRPr="005E50F3" w:rsidRDefault="00B43299" w:rsidP="00396578">
            <w:pPr>
              <w:pStyle w:val="TableParagraph"/>
              <w:spacing w:line="225" w:lineRule="auto"/>
              <w:ind w:right="13"/>
              <w:jc w:val="center"/>
              <w:rPr>
                <w:sz w:val="21"/>
                <w:lang w:eastAsia="zh-TW"/>
              </w:rPr>
            </w:pPr>
            <w:r w:rsidRPr="00284B31">
              <w:rPr>
                <w:rFonts w:hint="eastAsia"/>
                <w:sz w:val="28"/>
                <w:lang w:eastAsia="zh-TW"/>
              </w:rPr>
              <w:t>國外匯兌</w:t>
            </w:r>
          </w:p>
        </w:tc>
        <w:tc>
          <w:tcPr>
            <w:tcW w:w="593" w:type="dxa"/>
          </w:tcPr>
          <w:p w14:paraId="22A5232D" w14:textId="77777777" w:rsidR="00B43299" w:rsidRPr="00284B31" w:rsidRDefault="00B43299" w:rsidP="00396578">
            <w:pPr>
              <w:pStyle w:val="TableParagraph"/>
              <w:spacing w:before="8"/>
              <w:ind w:left="0"/>
              <w:rPr>
                <w:rFonts w:ascii="Times New Roman"/>
                <w:sz w:val="24"/>
                <w:lang w:eastAsia="zh-TW"/>
              </w:rPr>
            </w:pPr>
            <w:r w:rsidRPr="00284B31">
              <w:rPr>
                <w:rFonts w:ascii="Times New Roman" w:hint="eastAsia"/>
                <w:sz w:val="24"/>
                <w:lang w:eastAsia="zh-TW"/>
              </w:rPr>
              <w:t>解答</w:t>
            </w:r>
          </w:p>
        </w:tc>
      </w:tr>
      <w:tr w:rsidR="00B43299" w14:paraId="7E512FE1" w14:textId="77777777" w:rsidTr="00396578">
        <w:trPr>
          <w:trHeight w:val="1091"/>
        </w:trPr>
        <w:tc>
          <w:tcPr>
            <w:tcW w:w="567" w:type="dxa"/>
          </w:tcPr>
          <w:p w14:paraId="1316EF13" w14:textId="77777777" w:rsidR="00B43299" w:rsidRDefault="00B43299" w:rsidP="00396578">
            <w:pPr>
              <w:pStyle w:val="TableParagraph"/>
              <w:spacing w:before="8"/>
              <w:ind w:left="0"/>
              <w:rPr>
                <w:rFonts w:ascii="Times New Roman"/>
                <w:sz w:val="29"/>
                <w:lang w:eastAsia="zh-TW"/>
              </w:rPr>
            </w:pPr>
          </w:p>
          <w:p w14:paraId="71DE54A9" w14:textId="77777777" w:rsidR="00B43299" w:rsidRDefault="00B43299" w:rsidP="00396578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9357" w:type="dxa"/>
          </w:tcPr>
          <w:p w14:paraId="7962D067" w14:textId="1D3F11EB" w:rsidR="00B43299" w:rsidRDefault="00464FF6" w:rsidP="00396578">
            <w:pPr>
              <w:pStyle w:val="TableParagraph"/>
              <w:tabs>
                <w:tab w:val="left" w:pos="867"/>
              </w:tabs>
              <w:spacing w:line="349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換匯交易之定義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B43299">
              <w:rPr>
                <w:rFonts w:hint="eastAsia"/>
                <w:sz w:val="21"/>
                <w:lang w:eastAsia="zh-TW"/>
              </w:rPr>
              <w:t xml:space="preserve"> (1)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(Foreign Exchange Swaps)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是同時於即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/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遠期交易買進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/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賣出某一貨幣對另一貨幣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5E50F3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(Foreign Exchange Swaps)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是不同時於即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/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遠期交易買進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/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賣出某一貨幣對另一貨幣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5E50F3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(Foreign Exchange Swaps)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是同時於即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/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遠期交易賣出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/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賣出某一貨幣對另一貨幣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5E50F3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(Foreign Exchange Swaps)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是不同時於即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/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遠期交易買進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/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買進某一貨幣對另一貨幣</w:t>
            </w:r>
          </w:p>
        </w:tc>
        <w:tc>
          <w:tcPr>
            <w:tcW w:w="593" w:type="dxa"/>
          </w:tcPr>
          <w:p w14:paraId="5EE1E6BE" w14:textId="77777777" w:rsidR="00B43299" w:rsidRDefault="00B43299" w:rsidP="00396578">
            <w:pPr>
              <w:pStyle w:val="TableParagraph"/>
              <w:spacing w:before="8"/>
              <w:ind w:left="0"/>
              <w:rPr>
                <w:rFonts w:ascii="Times New Roman"/>
                <w:sz w:val="29"/>
                <w:lang w:eastAsia="zh-TW"/>
              </w:rPr>
            </w:pPr>
          </w:p>
          <w:p w14:paraId="1B5DF372" w14:textId="5DE41713" w:rsidR="00B43299" w:rsidRDefault="00464FF6" w:rsidP="00396578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B43299" w14:paraId="28F4A84B" w14:textId="77777777" w:rsidTr="00396578">
        <w:trPr>
          <w:trHeight w:val="724"/>
        </w:trPr>
        <w:tc>
          <w:tcPr>
            <w:tcW w:w="567" w:type="dxa"/>
          </w:tcPr>
          <w:p w14:paraId="0BA6D848" w14:textId="77777777" w:rsidR="00B43299" w:rsidRDefault="00B43299" w:rsidP="00396578">
            <w:pPr>
              <w:pStyle w:val="TableParagraph"/>
              <w:spacing w:before="157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9357" w:type="dxa"/>
          </w:tcPr>
          <w:p w14:paraId="1AC3FA48" w14:textId="584EEBE9" w:rsidR="00B43299" w:rsidRDefault="00464FF6" w:rsidP="00396578">
            <w:pPr>
              <w:pStyle w:val="TableParagraph"/>
              <w:spacing w:line="353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換匯交易之組合可為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B43299">
              <w:rPr>
                <w:sz w:val="21"/>
                <w:lang w:eastAsia="zh-TW"/>
              </w:rPr>
              <w:t xml:space="preserve"> 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其組合得為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即期與即期之組合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例如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進行即期交易之同時，另訂一筆方向相反且金額相同之即期交易合約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，或兩個遠期之組合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即雙遠期交易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是二個交割日皆為遠期但交割日不同之換匯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其組合得為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即期與遠期之組合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例如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進行即期交易之同時，另訂一筆方向相反且金額相同之遠期交易合約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，或兩個遠期之組合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即雙遠期交易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是二個交割日皆為遠期但交割日不同之換匯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 w:rsidR="00B43299">
              <w:rPr>
                <w:sz w:val="21"/>
                <w:lang w:eastAsia="zh-TW"/>
              </w:rPr>
              <w:t xml:space="preserve"> 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其組合得為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即期與遠期之組合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例如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進行即期交易之同時，另訂一筆方向相反且金額相同之遠期交易合約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，或兩個即期之組合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即雙即期交易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是二個交割日皆為即期但交割日不同之換匯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5E50F3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其組合得為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遠期與遠期之組合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例如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進行遠期交易之同時，另訂一筆方向相反且金額相同之遠期交易合約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，或兩個即期之組合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即雙即期交易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是二個交割日皆為即期但交割日不同之換匯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</w:p>
        </w:tc>
        <w:tc>
          <w:tcPr>
            <w:tcW w:w="593" w:type="dxa"/>
          </w:tcPr>
          <w:p w14:paraId="6B655181" w14:textId="5E8446C2" w:rsidR="00B43299" w:rsidRDefault="00464FF6" w:rsidP="00396578">
            <w:pPr>
              <w:pStyle w:val="TableParagraph"/>
              <w:spacing w:before="157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B43299" w14:paraId="08067ED9" w14:textId="77777777" w:rsidTr="00396578">
        <w:trPr>
          <w:trHeight w:val="726"/>
        </w:trPr>
        <w:tc>
          <w:tcPr>
            <w:tcW w:w="567" w:type="dxa"/>
          </w:tcPr>
          <w:p w14:paraId="4CE90469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9357" w:type="dxa"/>
          </w:tcPr>
          <w:p w14:paraId="225B0EB5" w14:textId="0F466A4A" w:rsidR="00B43299" w:rsidRDefault="00464FF6" w:rsidP="00396578">
            <w:pPr>
              <w:pStyle w:val="TableParagraph"/>
              <w:spacing w:line="353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換匯交易之種類可為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B43299">
              <w:rPr>
                <w:spacing w:val="-5"/>
                <w:sz w:val="21"/>
                <w:lang w:eastAsia="zh-TW"/>
              </w:rPr>
              <w:t xml:space="preserve"> (</w:t>
            </w:r>
            <w:r w:rsidR="00B43299">
              <w:rPr>
                <w:rFonts w:hint="eastAsia"/>
                <w:spacing w:val="-5"/>
                <w:sz w:val="21"/>
                <w:lang w:eastAsia="zh-TW"/>
              </w:rPr>
              <w:t>1</w:t>
            </w:r>
            <w:r w:rsidR="00B43299" w:rsidRPr="005E50F3">
              <w:rPr>
                <w:spacing w:val="-5"/>
                <w:sz w:val="21"/>
                <w:lang w:eastAsia="zh-TW"/>
              </w:rPr>
              <w:t>)</w:t>
            </w:r>
            <w:r w:rsidR="00803D11">
              <w:rPr>
                <w:rFonts w:ascii="Helvetica" w:hAnsi="Helvetica" w:cs="Helvetica"/>
                <w:color w:val="555555"/>
                <w:shd w:val="clear" w:color="auto" w:fill="F4F7F8"/>
              </w:rPr>
              <w:t>種類</w:t>
            </w:r>
            <w:r w:rsidR="00803D11"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 w:rsidR="00803D11">
              <w:rPr>
                <w:rFonts w:ascii="Helvetica" w:hAnsi="Helvetica" w:cs="Helvetica"/>
                <w:color w:val="555555"/>
                <w:shd w:val="clear" w:color="auto" w:fill="F4F7F8"/>
              </w:rPr>
              <w:t>分為「日幣與外幣間之換匯交易」及「外幣間之換匯交易」二種</w:t>
            </w:r>
            <w:r w:rsidR="00B43299">
              <w:rPr>
                <w:spacing w:val="-5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5"/>
                <w:sz w:val="21"/>
                <w:lang w:eastAsia="zh-TW"/>
              </w:rPr>
              <w:t>2</w:t>
            </w:r>
            <w:r w:rsidR="00B43299" w:rsidRPr="005E50F3">
              <w:rPr>
                <w:spacing w:val="-5"/>
                <w:sz w:val="21"/>
                <w:lang w:eastAsia="zh-TW"/>
              </w:rPr>
              <w:t>)</w:t>
            </w:r>
            <w:r w:rsidR="00803D11">
              <w:rPr>
                <w:rFonts w:ascii="Helvetica" w:hAnsi="Helvetica" w:cs="Helvetica"/>
                <w:color w:val="555555"/>
                <w:shd w:val="clear" w:color="auto" w:fill="F4F7F8"/>
              </w:rPr>
              <w:t>種類</w:t>
            </w:r>
            <w:r w:rsidR="00803D11"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 w:rsidR="00803D11">
              <w:rPr>
                <w:rFonts w:ascii="Helvetica" w:hAnsi="Helvetica" w:cs="Helvetica"/>
                <w:color w:val="555555"/>
                <w:shd w:val="clear" w:color="auto" w:fill="F4F7F8"/>
              </w:rPr>
              <w:t>分為「美金與外幣間之換匯交易」及「外幣間之換匯交易」二種</w:t>
            </w:r>
            <w:r w:rsidR="00B43299">
              <w:rPr>
                <w:spacing w:val="-5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5"/>
                <w:sz w:val="21"/>
                <w:lang w:eastAsia="zh-TW"/>
              </w:rPr>
              <w:t>3</w:t>
            </w:r>
            <w:r w:rsidR="00803D11">
              <w:rPr>
                <w:spacing w:val="-5"/>
                <w:sz w:val="21"/>
                <w:lang w:eastAsia="zh-TW"/>
              </w:rPr>
              <w:t>)</w:t>
            </w:r>
            <w:r w:rsidR="00803D11">
              <w:rPr>
                <w:rFonts w:ascii="Helvetica" w:hAnsi="Helvetica" w:cs="Helvetica"/>
                <w:color w:val="555555"/>
                <w:shd w:val="clear" w:color="auto" w:fill="F4F7F8"/>
              </w:rPr>
              <w:t>種類</w:t>
            </w:r>
            <w:r w:rsidR="00803D11"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 w:rsidR="00803D11">
              <w:rPr>
                <w:rFonts w:ascii="Helvetica" w:hAnsi="Helvetica" w:cs="Helvetica"/>
                <w:color w:val="555555"/>
                <w:shd w:val="clear" w:color="auto" w:fill="F4F7F8"/>
              </w:rPr>
              <w:t>分為「泰銖與外幣間之換匯交易」及「外幣間之換匯交易」二種</w:t>
            </w:r>
            <w:r w:rsidR="00B43299">
              <w:rPr>
                <w:spacing w:val="-5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5"/>
                <w:sz w:val="21"/>
                <w:lang w:eastAsia="zh-TW"/>
              </w:rPr>
              <w:t>4</w:t>
            </w:r>
            <w:r w:rsidR="00B43299" w:rsidRPr="005E50F3">
              <w:rPr>
                <w:spacing w:val="-5"/>
                <w:sz w:val="21"/>
                <w:lang w:eastAsia="zh-TW"/>
              </w:rPr>
              <w:t xml:space="preserve">) </w:t>
            </w:r>
            <w:r w:rsidR="00803D11">
              <w:rPr>
                <w:rFonts w:ascii="Helvetica" w:hAnsi="Helvetica" w:cs="Helvetica"/>
                <w:color w:val="555555"/>
                <w:shd w:val="clear" w:color="auto" w:fill="F4F7F8"/>
              </w:rPr>
              <w:t>種類</w:t>
            </w:r>
            <w:r w:rsidR="00803D11"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 w:rsidR="00803D11">
              <w:rPr>
                <w:rFonts w:ascii="Helvetica" w:hAnsi="Helvetica" w:cs="Helvetica"/>
                <w:color w:val="555555"/>
                <w:shd w:val="clear" w:color="auto" w:fill="F4F7F8"/>
              </w:rPr>
              <w:t>分為「新台幣與外幣間之換匯交易」及「外幣間之換匯交易」二種</w:t>
            </w:r>
          </w:p>
        </w:tc>
        <w:tc>
          <w:tcPr>
            <w:tcW w:w="593" w:type="dxa"/>
          </w:tcPr>
          <w:p w14:paraId="1A4FF213" w14:textId="10454237" w:rsidR="00B43299" w:rsidRDefault="00803D11" w:rsidP="00396578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B43299" w14:paraId="48E0CB54" w14:textId="77777777" w:rsidTr="00396578">
        <w:trPr>
          <w:trHeight w:val="727"/>
        </w:trPr>
        <w:tc>
          <w:tcPr>
            <w:tcW w:w="567" w:type="dxa"/>
          </w:tcPr>
          <w:p w14:paraId="7C3D0A4B" w14:textId="77777777" w:rsidR="00B43299" w:rsidRDefault="00B43299" w:rsidP="00396578">
            <w:pPr>
              <w:pStyle w:val="TableParagraph"/>
              <w:spacing w:before="160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9357" w:type="dxa"/>
          </w:tcPr>
          <w:p w14:paraId="4CC0D9AE" w14:textId="7489AAAA" w:rsidR="00B43299" w:rsidRDefault="00803D11" w:rsidP="00396578">
            <w:pPr>
              <w:pStyle w:val="TableParagraph"/>
              <w:tabs>
                <w:tab w:val="left" w:pos="3107"/>
              </w:tabs>
              <w:spacing w:line="354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換匯交易之基本運用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B43299" w:rsidRPr="007D6D40">
              <w:rPr>
                <w:b/>
                <w:bCs/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5E50F3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將某一種貨幣交換成另一種貨幣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5E50F3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將某一種貨幣交換成另一種貨幣，隨後再交換回來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5E50F3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將某一種貨幣交換成另一種貨幣，隨後再交換給銀行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5E50F3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將某一種貨幣交換成另一種貨幣，隨後再交換給法人。</w:t>
            </w:r>
          </w:p>
        </w:tc>
        <w:tc>
          <w:tcPr>
            <w:tcW w:w="593" w:type="dxa"/>
          </w:tcPr>
          <w:p w14:paraId="1D6BBA8F" w14:textId="77777777" w:rsidR="00B43299" w:rsidRDefault="00B43299" w:rsidP="00396578">
            <w:pPr>
              <w:pStyle w:val="TableParagraph"/>
              <w:spacing w:before="160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B43299" w14:paraId="26840466" w14:textId="77777777" w:rsidTr="00396578">
        <w:trPr>
          <w:trHeight w:val="726"/>
        </w:trPr>
        <w:tc>
          <w:tcPr>
            <w:tcW w:w="567" w:type="dxa"/>
          </w:tcPr>
          <w:p w14:paraId="72E52503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9357" w:type="dxa"/>
          </w:tcPr>
          <w:p w14:paraId="5BC9D993" w14:textId="23425DD2" w:rsidR="00B43299" w:rsidRDefault="00803D11" w:rsidP="00396578">
            <w:pPr>
              <w:pStyle w:val="TableParagraph"/>
              <w:spacing w:line="354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換匯交易之風險和對手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B43299">
              <w:rPr>
                <w:sz w:val="21"/>
                <w:lang w:eastAsia="zh-TW"/>
              </w:rPr>
              <w:t xml:space="preserve"> 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5E50F3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交易的過程中沒有匯率的風險且換匯交易比較容易找到交易對手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5E50F3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交易的過程中有匯率的風險且換匯交易比較容易找到交易對手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5E50F3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交易的過程中沒有匯率的風險但換匯交易比較不容易找到交易對手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5E50F3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交易的過程中有匯率的風險且換匯交易比較不容易找到交易對手</w:t>
            </w:r>
          </w:p>
        </w:tc>
        <w:tc>
          <w:tcPr>
            <w:tcW w:w="593" w:type="dxa"/>
          </w:tcPr>
          <w:p w14:paraId="69ACD569" w14:textId="0D162E52" w:rsidR="00B43299" w:rsidRDefault="00803D11" w:rsidP="00396578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B43299" w14:paraId="57D14280" w14:textId="77777777" w:rsidTr="00396578">
        <w:trPr>
          <w:trHeight w:val="1089"/>
        </w:trPr>
        <w:tc>
          <w:tcPr>
            <w:tcW w:w="567" w:type="dxa"/>
          </w:tcPr>
          <w:p w14:paraId="31A97C12" w14:textId="77777777" w:rsidR="00B43299" w:rsidRDefault="00B43299" w:rsidP="00396578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4E098F29" w14:textId="77777777" w:rsidR="00B43299" w:rsidRDefault="00B43299" w:rsidP="00396578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9357" w:type="dxa"/>
          </w:tcPr>
          <w:p w14:paraId="5FC602D1" w14:textId="7E467647" w:rsidR="00B43299" w:rsidRDefault="00803D11" w:rsidP="00396578">
            <w:pPr>
              <w:pStyle w:val="TableParagraph"/>
              <w:spacing w:line="349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換匯交易之承作對象中，對國外法人或自然人需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應查驗主管機關核准文件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不應查驗主管機關核准文件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DE43B7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應查驗法人核准文件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DE43B7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應查驗銀行核准文件</w:t>
            </w:r>
          </w:p>
        </w:tc>
        <w:tc>
          <w:tcPr>
            <w:tcW w:w="593" w:type="dxa"/>
          </w:tcPr>
          <w:p w14:paraId="4A66ED7B" w14:textId="77777777" w:rsidR="00B43299" w:rsidRDefault="00B43299" w:rsidP="00396578">
            <w:pPr>
              <w:pStyle w:val="TableParagraph"/>
              <w:spacing w:before="6"/>
              <w:ind w:left="0"/>
              <w:rPr>
                <w:rFonts w:ascii="Times New Roman"/>
                <w:sz w:val="29"/>
                <w:lang w:eastAsia="zh-TW"/>
              </w:rPr>
            </w:pPr>
          </w:p>
          <w:p w14:paraId="69B1748D" w14:textId="77777777" w:rsidR="00B43299" w:rsidRDefault="00B43299" w:rsidP="00396578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B43299" w14:paraId="1EBC084C" w14:textId="77777777" w:rsidTr="00396578">
        <w:trPr>
          <w:trHeight w:val="726"/>
        </w:trPr>
        <w:tc>
          <w:tcPr>
            <w:tcW w:w="567" w:type="dxa"/>
          </w:tcPr>
          <w:p w14:paraId="11F11D51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9357" w:type="dxa"/>
          </w:tcPr>
          <w:p w14:paraId="69FE66B8" w14:textId="22079E6B" w:rsidR="00B43299" w:rsidRDefault="00803D11" w:rsidP="00396578">
            <w:pPr>
              <w:pStyle w:val="TableParagraph"/>
              <w:spacing w:line="354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換匯交易之承作對象中，對國內法人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pacing w:val="-9"/>
                <w:sz w:val="21"/>
                <w:lang w:eastAsia="zh-TW"/>
              </w:rPr>
              <w:t xml:space="preserve"> </w:t>
            </w:r>
            <w:r w:rsidR="00B43299">
              <w:rPr>
                <w:spacing w:val="-9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9"/>
                <w:sz w:val="21"/>
                <w:lang w:eastAsia="zh-TW"/>
              </w:rPr>
              <w:t>1</w:t>
            </w:r>
            <w:r w:rsidR="00B43299" w:rsidRPr="00DE43B7">
              <w:rPr>
                <w:spacing w:val="-9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凡有外匯收支需求者，均得辦理但須檢附文件</w:t>
            </w:r>
            <w:r w:rsidR="00B43299">
              <w:rPr>
                <w:spacing w:val="-9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9"/>
                <w:sz w:val="21"/>
                <w:lang w:eastAsia="zh-TW"/>
              </w:rPr>
              <w:t>2</w:t>
            </w:r>
            <w:r w:rsidR="00B43299" w:rsidRPr="00DE43B7">
              <w:rPr>
                <w:spacing w:val="-9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有外匯收支需求者，不一定能辦理須審核</w:t>
            </w:r>
            <w:r w:rsidR="00B43299">
              <w:rPr>
                <w:spacing w:val="-9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9"/>
                <w:sz w:val="21"/>
                <w:lang w:eastAsia="zh-TW"/>
              </w:rPr>
              <w:t>3)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凡有外匯收支需求者，均得辦理但須主管機關核准</w:t>
            </w:r>
            <w:r w:rsidR="00B43299">
              <w:rPr>
                <w:spacing w:val="-9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9"/>
                <w:sz w:val="21"/>
                <w:lang w:eastAsia="zh-TW"/>
              </w:rPr>
              <w:t>4</w:t>
            </w:r>
            <w:r w:rsidR="00B43299" w:rsidRPr="00DE43B7">
              <w:rPr>
                <w:spacing w:val="-9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凡有外匯收支需求者，均得辦理無須檢附文件</w:t>
            </w:r>
          </w:p>
        </w:tc>
        <w:tc>
          <w:tcPr>
            <w:tcW w:w="593" w:type="dxa"/>
          </w:tcPr>
          <w:p w14:paraId="5FB786D2" w14:textId="799DD52C" w:rsidR="00B43299" w:rsidRDefault="00803D11" w:rsidP="00396578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B43299" w14:paraId="5AF963EF" w14:textId="77777777" w:rsidTr="00396578">
        <w:trPr>
          <w:trHeight w:val="726"/>
        </w:trPr>
        <w:tc>
          <w:tcPr>
            <w:tcW w:w="567" w:type="dxa"/>
          </w:tcPr>
          <w:p w14:paraId="2E971591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8</w:t>
            </w:r>
          </w:p>
        </w:tc>
        <w:tc>
          <w:tcPr>
            <w:tcW w:w="9357" w:type="dxa"/>
          </w:tcPr>
          <w:p w14:paraId="752319DD" w14:textId="0BECF014" w:rsidR="00B43299" w:rsidRPr="00DE43B7" w:rsidRDefault="00803D11" w:rsidP="00396578">
            <w:pPr>
              <w:pStyle w:val="TableParagraph"/>
              <w:spacing w:line="353" w:lineRule="exact"/>
              <w:rPr>
                <w:spacing w:val="-9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辦理外幣間換匯交易業務之條件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B43299">
              <w:rPr>
                <w:spacing w:val="-9"/>
                <w:sz w:val="21"/>
                <w:lang w:eastAsia="zh-TW"/>
              </w:rPr>
              <w:t xml:space="preserve"> (</w:t>
            </w:r>
            <w:r w:rsidR="00B43299">
              <w:rPr>
                <w:rFonts w:hint="eastAsia"/>
                <w:spacing w:val="-9"/>
                <w:sz w:val="21"/>
                <w:lang w:eastAsia="zh-TW"/>
              </w:rPr>
              <w:t>1</w:t>
            </w:r>
            <w:r w:rsidR="00B43299" w:rsidRPr="006262B8">
              <w:rPr>
                <w:spacing w:val="-9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凡有外匯收支需求者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需經審核</w:t>
            </w:r>
            <w:r w:rsidR="00B43299">
              <w:rPr>
                <w:spacing w:val="-9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9"/>
                <w:sz w:val="21"/>
                <w:lang w:eastAsia="zh-TW"/>
              </w:rPr>
              <w:t>2</w:t>
            </w:r>
            <w:r w:rsidR="00B43299" w:rsidRPr="006262B8">
              <w:rPr>
                <w:spacing w:val="-9"/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凡有外匯收支需求者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均得辦理</w:t>
            </w:r>
            <w:r w:rsidR="00B43299">
              <w:rPr>
                <w:spacing w:val="-9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9"/>
                <w:sz w:val="21"/>
                <w:lang w:eastAsia="zh-TW"/>
              </w:rPr>
              <w:t>3</w:t>
            </w:r>
            <w:r w:rsidR="00B43299" w:rsidRPr="006262B8">
              <w:rPr>
                <w:spacing w:val="-9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凡有外匯收支需求者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需經備查</w:t>
            </w:r>
            <w:r w:rsidR="00B43299">
              <w:rPr>
                <w:spacing w:val="-9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9"/>
                <w:sz w:val="21"/>
                <w:lang w:eastAsia="zh-TW"/>
              </w:rPr>
              <w:t>4</w:t>
            </w:r>
            <w:r w:rsidR="00B43299" w:rsidRPr="006262B8">
              <w:rPr>
                <w:spacing w:val="-9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凡有外匯收支需求者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皆不得辦理</w:t>
            </w:r>
          </w:p>
        </w:tc>
        <w:tc>
          <w:tcPr>
            <w:tcW w:w="593" w:type="dxa"/>
          </w:tcPr>
          <w:p w14:paraId="5EA42A58" w14:textId="2FF19247" w:rsidR="00B43299" w:rsidRDefault="00803D11" w:rsidP="00396578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2</w:t>
            </w:r>
          </w:p>
        </w:tc>
      </w:tr>
      <w:tr w:rsidR="00B43299" w14:paraId="530A6082" w14:textId="77777777" w:rsidTr="00396578">
        <w:trPr>
          <w:trHeight w:val="726"/>
        </w:trPr>
        <w:tc>
          <w:tcPr>
            <w:tcW w:w="567" w:type="dxa"/>
          </w:tcPr>
          <w:p w14:paraId="2C7BAC3B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9</w:t>
            </w:r>
          </w:p>
        </w:tc>
        <w:tc>
          <w:tcPr>
            <w:tcW w:w="9357" w:type="dxa"/>
          </w:tcPr>
          <w:p w14:paraId="1F8B1632" w14:textId="31642D7B" w:rsidR="00B43299" w:rsidRPr="00DE43B7" w:rsidRDefault="00803D11" w:rsidP="00396578">
            <w:pPr>
              <w:pStyle w:val="TableParagraph"/>
              <w:spacing w:line="353" w:lineRule="exact"/>
              <w:rPr>
                <w:spacing w:val="-9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換匯交易之交易類型，即期對遠期之操作方式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B43299">
              <w:rPr>
                <w:spacing w:val="-9"/>
                <w:sz w:val="21"/>
                <w:lang w:eastAsia="zh-TW"/>
              </w:rPr>
              <w:t xml:space="preserve"> (</w:t>
            </w:r>
            <w:r w:rsidR="00B43299">
              <w:rPr>
                <w:rFonts w:hint="eastAsia"/>
                <w:spacing w:val="-9"/>
                <w:sz w:val="21"/>
                <w:lang w:eastAsia="zh-TW"/>
              </w:rPr>
              <w:t>1</w:t>
            </w:r>
            <w:r w:rsidR="00B43299" w:rsidRPr="006262B8">
              <w:rPr>
                <w:spacing w:val="-9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第一筆交易在即期日交割，也就是交易後兩個營業日交割。而第二筆交易發生在未來的某日，例如即期日後一個月進行反向交易</w:t>
            </w:r>
            <w:r w:rsidR="00B43299">
              <w:rPr>
                <w:spacing w:val="-9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9"/>
                <w:sz w:val="21"/>
                <w:lang w:eastAsia="zh-TW"/>
              </w:rPr>
              <w:t>2</w:t>
            </w:r>
            <w:r>
              <w:rPr>
                <w:spacing w:val="-9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第一筆交易在即期日後兩日交割，也就是交易後四個營業日交割。而第二筆交易發生在未來的某日，例如即期日後一個月進行反向交易</w:t>
            </w:r>
            <w:r w:rsidR="00B43299">
              <w:rPr>
                <w:spacing w:val="-9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9"/>
                <w:sz w:val="21"/>
                <w:lang w:eastAsia="zh-TW"/>
              </w:rPr>
              <w:t>3</w:t>
            </w:r>
            <w:r w:rsidR="00B43299" w:rsidRPr="006262B8">
              <w:rPr>
                <w:spacing w:val="-9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第一筆交易在即期日後五日交割，也就是交易後七個營業日交割。而第二筆交易發生在未來的某日，例如即期日後一個月進行反向交易</w:t>
            </w:r>
            <w:r w:rsidR="00B43299">
              <w:rPr>
                <w:spacing w:val="-9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9"/>
                <w:sz w:val="21"/>
                <w:lang w:eastAsia="zh-TW"/>
              </w:rPr>
              <w:t>4</w:t>
            </w:r>
            <w:r w:rsidR="00B43299" w:rsidRPr="006262B8">
              <w:rPr>
                <w:spacing w:val="-9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第一筆交易在即期日後十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lastRenderedPageBreak/>
              <w:t>日交割，也就是交易後十二個營業日交割。而第二筆交易發生在未來的某日，例如即期日後一個月進行反向交易</w:t>
            </w:r>
          </w:p>
        </w:tc>
        <w:tc>
          <w:tcPr>
            <w:tcW w:w="593" w:type="dxa"/>
          </w:tcPr>
          <w:p w14:paraId="35DF4FEF" w14:textId="6F305958" w:rsidR="00B43299" w:rsidRDefault="00803D11" w:rsidP="00396578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lastRenderedPageBreak/>
              <w:t>1</w:t>
            </w:r>
          </w:p>
        </w:tc>
      </w:tr>
      <w:tr w:rsidR="00B43299" w14:paraId="6D7771D4" w14:textId="77777777" w:rsidTr="00396578">
        <w:trPr>
          <w:trHeight w:val="726"/>
        </w:trPr>
        <w:tc>
          <w:tcPr>
            <w:tcW w:w="567" w:type="dxa"/>
          </w:tcPr>
          <w:p w14:paraId="50254F84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10</w:t>
            </w:r>
          </w:p>
        </w:tc>
        <w:tc>
          <w:tcPr>
            <w:tcW w:w="9357" w:type="dxa"/>
          </w:tcPr>
          <w:p w14:paraId="36FFC7A0" w14:textId="68957D5E" w:rsidR="00B43299" w:rsidRPr="00DE43B7" w:rsidRDefault="00803D11" w:rsidP="00396578">
            <w:pPr>
              <w:pStyle w:val="TableParagraph"/>
              <w:spacing w:line="353" w:lineRule="exact"/>
              <w:rPr>
                <w:spacing w:val="-9"/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換匯交易之交易類型，遠期對遺期之操作方式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pacing w:val="-9"/>
                <w:sz w:val="21"/>
                <w:lang w:eastAsia="zh-TW"/>
              </w:rPr>
              <w:t xml:space="preserve"> </w:t>
            </w:r>
            <w:r w:rsidR="00B43299">
              <w:rPr>
                <w:spacing w:val="-9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9"/>
                <w:sz w:val="21"/>
                <w:lang w:eastAsia="zh-TW"/>
              </w:rPr>
              <w:t>1</w:t>
            </w:r>
            <w:r w:rsidR="00B43299" w:rsidRPr="006262B8">
              <w:rPr>
                <w:spacing w:val="-9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第一筆交易在即期日交割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而第二筆交易在另一遠期日進行反向交易。例如，第一筆交易在即期日交割，而第二筆交易在即期日後六個月交割</w:t>
            </w:r>
            <w:r w:rsidR="00B43299">
              <w:rPr>
                <w:spacing w:val="-9"/>
                <w:sz w:val="21"/>
                <w:lang w:eastAsia="zh-TW"/>
              </w:rPr>
              <w:t xml:space="preserve"> (</w:t>
            </w:r>
            <w:r w:rsidR="00B43299">
              <w:rPr>
                <w:rFonts w:hint="eastAsia"/>
                <w:spacing w:val="-9"/>
                <w:sz w:val="21"/>
                <w:lang w:eastAsia="zh-TW"/>
              </w:rPr>
              <w:t>2</w:t>
            </w:r>
            <w:r w:rsidR="00B43299" w:rsidRPr="006262B8">
              <w:rPr>
                <w:spacing w:val="-9"/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第一筆交易在即期日交割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而第二筆交易在即期日二天後進行反向交易。例如，第一筆交易在即期日交割，而第二筆交易在即期日後二天交割</w:t>
            </w:r>
            <w:r w:rsidR="00B43299">
              <w:rPr>
                <w:spacing w:val="-9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9"/>
                <w:sz w:val="21"/>
                <w:lang w:eastAsia="zh-TW"/>
              </w:rPr>
              <w:t>3</w:t>
            </w:r>
            <w:r w:rsidR="00B43299" w:rsidRPr="006262B8">
              <w:rPr>
                <w:spacing w:val="-9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第一筆交易在即期日交割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而第二筆交易在即期日五天後進行反向交易。例如，第一筆交易在即期日交割，而第二筆交易在即期日後五天交割</w:t>
            </w:r>
            <w:r w:rsidR="00B43299">
              <w:rPr>
                <w:spacing w:val="-9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9"/>
                <w:sz w:val="21"/>
                <w:lang w:eastAsia="zh-TW"/>
              </w:rPr>
              <w:t>4</w:t>
            </w:r>
            <w:r w:rsidR="00B43299" w:rsidRPr="006262B8">
              <w:rPr>
                <w:spacing w:val="-9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第一筆交易在遠期日交割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而第二筆交易在另一遠期日進行反向交易。例如，第一筆交易在即期日後三個月交割，而第二筆交易在即期日後六個月交割</w:t>
            </w:r>
          </w:p>
        </w:tc>
        <w:tc>
          <w:tcPr>
            <w:tcW w:w="593" w:type="dxa"/>
          </w:tcPr>
          <w:p w14:paraId="0D9A2483" w14:textId="39B6F379" w:rsidR="00B43299" w:rsidRDefault="00803D11" w:rsidP="00396578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4</w:t>
            </w:r>
          </w:p>
        </w:tc>
      </w:tr>
      <w:tr w:rsidR="00B43299" w14:paraId="3AA79A00" w14:textId="77777777" w:rsidTr="00396578">
        <w:trPr>
          <w:trHeight w:val="726"/>
        </w:trPr>
        <w:tc>
          <w:tcPr>
            <w:tcW w:w="567" w:type="dxa"/>
          </w:tcPr>
          <w:p w14:paraId="1A56D3B8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11</w:t>
            </w:r>
          </w:p>
        </w:tc>
        <w:tc>
          <w:tcPr>
            <w:tcW w:w="9357" w:type="dxa"/>
          </w:tcPr>
          <w:p w14:paraId="2A7E1887" w14:textId="74383B03" w:rsidR="00B43299" w:rsidRPr="00803D11" w:rsidRDefault="00803D11" w:rsidP="00803D11">
            <w:pPr>
              <w:pStyle w:val="Web"/>
              <w:shd w:val="clear" w:color="auto" w:fill="F4F7F8"/>
              <w:spacing w:before="0" w:beforeAutospacing="0" w:after="0" w:afterAutospacing="0" w:line="330" w:lineRule="atLeast"/>
              <w:textAlignment w:val="baseline"/>
              <w:rPr>
                <w:rFonts w:ascii="inherit" w:hAnsi="inherit" w:cs="Helvetica"/>
                <w:color w:val="555555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換匯交易之交易類型，即期交割日之前的換匯交易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pacing w:val="-9"/>
                <w:sz w:val="21"/>
              </w:rPr>
              <w:t xml:space="preserve"> </w:t>
            </w:r>
            <w:r w:rsidR="00B43299">
              <w:rPr>
                <w:spacing w:val="-9"/>
                <w:sz w:val="21"/>
              </w:rPr>
              <w:t>(</w:t>
            </w:r>
            <w:r w:rsidR="00B43299">
              <w:rPr>
                <w:rFonts w:hint="eastAsia"/>
                <w:spacing w:val="-9"/>
                <w:sz w:val="21"/>
              </w:rPr>
              <w:t>1</w:t>
            </w:r>
            <w:r w:rsidR="00B43299" w:rsidRPr="006262B8">
              <w:rPr>
                <w:spacing w:val="-9"/>
                <w:sz w:val="21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例如，第一筆交易為後日交割，而第二筆交易為明日交割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(O/N-overnight)</w:t>
            </w:r>
            <w:r>
              <w:rPr>
                <w:spacing w:val="-9"/>
                <w:sz w:val="21"/>
              </w:rPr>
              <w:t xml:space="preserve"> </w:t>
            </w:r>
            <w:r w:rsidR="00B43299">
              <w:rPr>
                <w:spacing w:val="-9"/>
                <w:sz w:val="21"/>
              </w:rPr>
              <w:t>(</w:t>
            </w:r>
            <w:r w:rsidR="00B43299">
              <w:rPr>
                <w:rFonts w:hint="eastAsia"/>
                <w:spacing w:val="-9"/>
                <w:sz w:val="21"/>
              </w:rPr>
              <w:t>2)</w:t>
            </w:r>
            <w:r w:rsidR="00B43299" w:rsidRPr="006262B8">
              <w:rPr>
                <w:spacing w:val="-9"/>
                <w:sz w:val="21"/>
              </w:rPr>
              <w:t xml:space="preserve">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例如，第一筆交易為當日交割，而第二筆交易為後日交割</w:t>
            </w:r>
            <w:r w:rsidR="00B43299">
              <w:rPr>
                <w:spacing w:val="-9"/>
                <w:sz w:val="21"/>
              </w:rPr>
              <w:t>(</w:t>
            </w:r>
            <w:r w:rsidR="00B43299">
              <w:rPr>
                <w:rFonts w:hint="eastAsia"/>
                <w:spacing w:val="-9"/>
                <w:sz w:val="21"/>
              </w:rPr>
              <w:t>3</w:t>
            </w:r>
            <w:r w:rsidR="00B43299" w:rsidRPr="006262B8">
              <w:rPr>
                <w:spacing w:val="-9"/>
                <w:sz w:val="21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例如，第一筆交易為今日交割，而第二筆交易為明日交割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(O/N-overnight)</w:t>
            </w:r>
            <w:r w:rsidR="00B43299">
              <w:rPr>
                <w:spacing w:val="-9"/>
                <w:sz w:val="21"/>
              </w:rPr>
              <w:t>(</w:t>
            </w:r>
            <w:r w:rsidR="00B43299">
              <w:rPr>
                <w:rFonts w:hint="eastAsia"/>
                <w:spacing w:val="-9"/>
                <w:sz w:val="21"/>
              </w:rPr>
              <w:t>4</w:t>
            </w:r>
            <w:r w:rsidR="00B43299" w:rsidRPr="006262B8">
              <w:rPr>
                <w:spacing w:val="-9"/>
                <w:sz w:val="21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例如，第一筆交易為今日交割，而第二筆交易為後日交割</w:t>
            </w:r>
          </w:p>
        </w:tc>
        <w:tc>
          <w:tcPr>
            <w:tcW w:w="593" w:type="dxa"/>
          </w:tcPr>
          <w:p w14:paraId="427FC4A4" w14:textId="4578D4CA" w:rsidR="00B43299" w:rsidRDefault="00803D11" w:rsidP="00396578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3</w:t>
            </w:r>
          </w:p>
        </w:tc>
      </w:tr>
    </w:tbl>
    <w:p w14:paraId="4ACBC459" w14:textId="77777777" w:rsidR="00B43299" w:rsidRDefault="00B43299" w:rsidP="00B43299">
      <w:pPr>
        <w:jc w:val="center"/>
        <w:rPr>
          <w:sz w:val="21"/>
          <w:lang w:eastAsia="zh-TW"/>
        </w:rPr>
        <w:sectPr w:rsidR="00B43299">
          <w:footerReference w:type="default" r:id="rId6"/>
          <w:pgSz w:w="11910" w:h="16840"/>
          <w:pgMar w:top="560" w:right="280" w:bottom="1560" w:left="280" w:header="0" w:footer="1362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7"/>
        <w:gridCol w:w="593"/>
      </w:tblGrid>
      <w:tr w:rsidR="00B43299" w14:paraId="27451954" w14:textId="77777777" w:rsidTr="00396578">
        <w:trPr>
          <w:trHeight w:val="724"/>
        </w:trPr>
        <w:tc>
          <w:tcPr>
            <w:tcW w:w="567" w:type="dxa"/>
          </w:tcPr>
          <w:p w14:paraId="063855B7" w14:textId="77777777" w:rsidR="00B43299" w:rsidRDefault="00B43299" w:rsidP="00396578">
            <w:pPr>
              <w:pStyle w:val="TableParagraph"/>
              <w:spacing w:before="157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12</w:t>
            </w:r>
          </w:p>
        </w:tc>
        <w:tc>
          <w:tcPr>
            <w:tcW w:w="9357" w:type="dxa"/>
          </w:tcPr>
          <w:p w14:paraId="3A3CF69E" w14:textId="1C7472F3" w:rsidR="00B43299" w:rsidRDefault="00803D11" w:rsidP="00396578">
            <w:pPr>
              <w:pStyle w:val="TableParagraph"/>
              <w:tabs>
                <w:tab w:val="left" w:pos="2337"/>
              </w:tabs>
              <w:spacing w:line="353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換匯交易之展期應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應依當時市場匯率重訂展期價格且不得依原價格展期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應依當時市場匯率重訂展期價格且可依原價格展期</w:t>
            </w:r>
            <w:r w:rsidR="00B43299">
              <w:rPr>
                <w:sz w:val="21"/>
                <w:lang w:eastAsia="zh-TW"/>
              </w:rPr>
              <w:t xml:space="preserve"> 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不應依當時市場匯率重訂展期價格且得依原價格展期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得依原價格展期</w:t>
            </w:r>
          </w:p>
        </w:tc>
        <w:tc>
          <w:tcPr>
            <w:tcW w:w="593" w:type="dxa"/>
          </w:tcPr>
          <w:p w14:paraId="4FCDDA86" w14:textId="79449C16" w:rsidR="00B43299" w:rsidRDefault="00803D11" w:rsidP="00396578">
            <w:pPr>
              <w:pStyle w:val="TableParagraph"/>
              <w:spacing w:before="157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B43299" w14:paraId="3549A51E" w14:textId="77777777" w:rsidTr="00396578">
        <w:trPr>
          <w:trHeight w:val="727"/>
        </w:trPr>
        <w:tc>
          <w:tcPr>
            <w:tcW w:w="567" w:type="dxa"/>
          </w:tcPr>
          <w:p w14:paraId="20E96C68" w14:textId="77777777" w:rsidR="00B43299" w:rsidRDefault="00B43299" w:rsidP="00396578">
            <w:pPr>
              <w:pStyle w:val="TableParagraph"/>
              <w:spacing w:before="160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357" w:type="dxa"/>
          </w:tcPr>
          <w:p w14:paraId="68EFB2BB" w14:textId="6FF4D33A" w:rsidR="00B43299" w:rsidRDefault="00100E9C" w:rsidP="00100E9C">
            <w:pPr>
              <w:pStyle w:val="TableParagraph"/>
              <w:spacing w:line="354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換匯交易之交割方式與保證金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於交割日按約定匯率進行利息交割而保證金由顧客決定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於交割日按約定匯率進行本金交割而保證金由承作銀行決定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於交割日按約定匯率進行利息交割而保證金由承作銀行與顧客議定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於交割日按約定匯率進行本金交割而保證金由承作銀行與顧客議定</w:t>
            </w:r>
          </w:p>
        </w:tc>
        <w:tc>
          <w:tcPr>
            <w:tcW w:w="593" w:type="dxa"/>
          </w:tcPr>
          <w:p w14:paraId="4EA89ADB" w14:textId="318CA8E5" w:rsidR="00B43299" w:rsidRDefault="00100E9C" w:rsidP="00396578">
            <w:pPr>
              <w:pStyle w:val="TableParagraph"/>
              <w:spacing w:before="160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B43299" w14:paraId="5A387FFA" w14:textId="77777777" w:rsidTr="00396578">
        <w:trPr>
          <w:trHeight w:val="726"/>
        </w:trPr>
        <w:tc>
          <w:tcPr>
            <w:tcW w:w="567" w:type="dxa"/>
          </w:tcPr>
          <w:p w14:paraId="65503667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9357" w:type="dxa"/>
          </w:tcPr>
          <w:p w14:paraId="51440AB3" w14:textId="07FB32F5" w:rsidR="00B43299" w:rsidRDefault="00100E9C" w:rsidP="00396578">
            <w:pPr>
              <w:pStyle w:val="TableParagraph"/>
              <w:tabs>
                <w:tab w:val="left" w:pos="1859"/>
              </w:tabs>
              <w:spacing w:line="354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無本金交割新台幣遠期外匯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(Non-Delivery Forward-NTD,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簡稱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NDF)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之定義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是指客戶與銀行約定一近期匯率及交易金額，並於未來指定期日，就先前約定匯率與即期市場匯率之差價，履行差額撥付之承諾，但須交割本金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是指客戶與銀行約定一遠期匯率及交易金額，並於未來某一日，就先前約定匯率與遠期市場匯率之差價，履行差額撥付之承諾，但須交割本金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6262B8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是指客戶與銀行約定一遠期匯率及交易金額，並於未來指定期日，就先前約定匯率與即期市場匯率之差價，履行差額撥付之承諾，而無須交割本金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是指客戶與銀行約定一遠期匯率及交易金額，並於未來指定期日，就先前約定匯率與即期市場匯率之差價，履行差額撥付之承諾，但須交割本金</w:t>
            </w:r>
          </w:p>
        </w:tc>
        <w:tc>
          <w:tcPr>
            <w:tcW w:w="593" w:type="dxa"/>
          </w:tcPr>
          <w:p w14:paraId="3A5B437A" w14:textId="77777777" w:rsidR="00B43299" w:rsidRDefault="00B43299" w:rsidP="00396578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B43299" w14:paraId="6DFB46BF" w14:textId="77777777" w:rsidTr="00396578">
        <w:trPr>
          <w:trHeight w:val="364"/>
        </w:trPr>
        <w:tc>
          <w:tcPr>
            <w:tcW w:w="567" w:type="dxa"/>
          </w:tcPr>
          <w:p w14:paraId="44927FCC" w14:textId="77777777" w:rsidR="00B43299" w:rsidRDefault="00B43299" w:rsidP="00396578">
            <w:pPr>
              <w:pStyle w:val="TableParagraph"/>
              <w:spacing w:line="344" w:lineRule="exact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357" w:type="dxa"/>
          </w:tcPr>
          <w:p w14:paraId="433D971E" w14:textId="1F8BE528" w:rsidR="00B43299" w:rsidRDefault="00100E9C" w:rsidP="00396578">
            <w:pPr>
              <w:pStyle w:val="TableParagraph"/>
              <w:tabs>
                <w:tab w:val="left" w:pos="5827"/>
              </w:tabs>
              <w:spacing w:line="344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無本金交割新台幣遠期外匯業務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(Non-Delivery Forward-NTD)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之承作對象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以國外指定銀行及其本身之國內分行為限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以國外指定分行為限</w:t>
            </w:r>
            <w:r>
              <w:rPr>
                <w:rFonts w:ascii="Helvetica" w:hAnsi="Helvetica" w:cs="Helvetica" w:hint="eastAsia"/>
                <w:color w:val="555555"/>
                <w:shd w:val="clear" w:color="auto" w:fill="F4F7F8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以國內指定銀行及其本身之海外分行或總行為限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以國外指定銀行及其本身之海外分行或總行為限</w:t>
            </w:r>
          </w:p>
        </w:tc>
        <w:tc>
          <w:tcPr>
            <w:tcW w:w="593" w:type="dxa"/>
          </w:tcPr>
          <w:p w14:paraId="2CDB23DB" w14:textId="7C803CC6" w:rsidR="00B43299" w:rsidRDefault="00100E9C" w:rsidP="00396578">
            <w:pPr>
              <w:pStyle w:val="TableParagraph"/>
              <w:spacing w:line="344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B43299" w14:paraId="2E0879A9" w14:textId="77777777" w:rsidTr="00396578">
        <w:trPr>
          <w:trHeight w:val="839"/>
        </w:trPr>
        <w:tc>
          <w:tcPr>
            <w:tcW w:w="567" w:type="dxa"/>
          </w:tcPr>
          <w:p w14:paraId="5BD60472" w14:textId="77777777" w:rsidR="00B43299" w:rsidRDefault="00B43299" w:rsidP="00396578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3C757B61" w14:textId="77777777" w:rsidR="00B43299" w:rsidRDefault="00B43299" w:rsidP="00396578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9357" w:type="dxa"/>
          </w:tcPr>
          <w:p w14:paraId="020B1CA5" w14:textId="418E26DE" w:rsidR="00B43299" w:rsidRDefault="00100E9C" w:rsidP="00396578">
            <w:pPr>
              <w:pStyle w:val="TableParagraph"/>
              <w:spacing w:line="349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無本金交割新台幣遠期外匯業務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(Non-Delivery Forward-NTD)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之承作限制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pacing w:val="-10"/>
                <w:sz w:val="21"/>
                <w:lang w:eastAsia="zh-TW"/>
              </w:rPr>
              <w:t xml:space="preserve"> </w:t>
            </w:r>
            <w:r w:rsidR="00B43299">
              <w:rPr>
                <w:spacing w:val="-10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10"/>
                <w:sz w:val="21"/>
                <w:lang w:eastAsia="zh-TW"/>
              </w:rPr>
              <w:t>1</w:t>
            </w:r>
            <w:r w:rsidR="00B43299" w:rsidRPr="006262B8">
              <w:rPr>
                <w:spacing w:val="-10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到期結清時，一律採現金差價交易且本項交易時得展期，不得提前解約。得以保證金交易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(MARGIN TRADING)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槓桿方式處理</w:t>
            </w:r>
            <w:r w:rsidR="00B43299">
              <w:rPr>
                <w:spacing w:val="-10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10"/>
                <w:sz w:val="21"/>
                <w:lang w:eastAsia="zh-TW"/>
              </w:rPr>
              <w:t>2</w:t>
            </w:r>
            <w:r w:rsidR="00B43299" w:rsidRPr="006262B8">
              <w:rPr>
                <w:spacing w:val="-10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到期結清時，一律採現金差價交易且本項交易時得展期，得提前解約。不得以保證金交易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(MARGIN TRADING)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槓桿方式處理</w:t>
            </w:r>
            <w:r w:rsidR="00B43299">
              <w:rPr>
                <w:spacing w:val="-10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10"/>
                <w:sz w:val="21"/>
                <w:lang w:eastAsia="zh-TW"/>
              </w:rPr>
              <w:t>3</w:t>
            </w:r>
            <w:r w:rsidR="00B43299" w:rsidRPr="006262B8">
              <w:rPr>
                <w:spacing w:val="-10"/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到期結清時，一律採現金差價交易且本項交易時得展期，得提前解約。不得以保證金交易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(MARGIN TRADING)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槓桿方式處理</w:t>
            </w:r>
            <w:r w:rsidR="00B43299">
              <w:rPr>
                <w:spacing w:val="-10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10"/>
                <w:sz w:val="21"/>
                <w:lang w:eastAsia="zh-TW"/>
              </w:rPr>
              <w:t>4</w:t>
            </w:r>
            <w:r w:rsidR="00B43299" w:rsidRPr="006262B8">
              <w:rPr>
                <w:spacing w:val="-10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到期結清時，一律採現金差價交易且本項交易時不得展期，不得提前解約。不得以保證金交易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(MARGIN TRADING)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槓桿方式處理</w:t>
            </w:r>
          </w:p>
        </w:tc>
        <w:tc>
          <w:tcPr>
            <w:tcW w:w="593" w:type="dxa"/>
          </w:tcPr>
          <w:p w14:paraId="7F56A8B3" w14:textId="77777777" w:rsidR="00B43299" w:rsidRDefault="00B43299" w:rsidP="00396578">
            <w:pPr>
              <w:pStyle w:val="TableParagraph"/>
              <w:spacing w:before="6"/>
              <w:ind w:left="0"/>
              <w:rPr>
                <w:rFonts w:ascii="Times New Roman"/>
                <w:sz w:val="29"/>
                <w:lang w:eastAsia="zh-TW"/>
              </w:rPr>
            </w:pPr>
          </w:p>
          <w:p w14:paraId="3A92D52A" w14:textId="156E3DEE" w:rsidR="00B43299" w:rsidRDefault="00100E9C" w:rsidP="00396578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B43299" w14:paraId="7E9230DA" w14:textId="77777777" w:rsidTr="00396578">
        <w:trPr>
          <w:trHeight w:val="727"/>
        </w:trPr>
        <w:tc>
          <w:tcPr>
            <w:tcW w:w="567" w:type="dxa"/>
          </w:tcPr>
          <w:p w14:paraId="1630143A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9357" w:type="dxa"/>
          </w:tcPr>
          <w:p w14:paraId="4D84A1A7" w14:textId="025D440C" w:rsidR="00B43299" w:rsidRDefault="00100E9C" w:rsidP="00396578">
            <w:pPr>
              <w:pStyle w:val="TableParagraph"/>
              <w:spacing w:line="356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無本金交割新台幣遠期外匯業務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(Non-Delivery Forward-NTD)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可否跟衍生性商品結合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需向金管會申請通過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6262B8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非經央行許可，不得與其他衍生性外匯商品、新台幣存款、外匯存款或其他產品組合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需向主管機關備查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不需經央行許可</w:t>
            </w:r>
          </w:p>
        </w:tc>
        <w:tc>
          <w:tcPr>
            <w:tcW w:w="593" w:type="dxa"/>
          </w:tcPr>
          <w:p w14:paraId="743A606D" w14:textId="77777777" w:rsidR="00B43299" w:rsidRDefault="00B43299" w:rsidP="00396578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B43299" w14:paraId="5D92E9CD" w14:textId="77777777" w:rsidTr="00396578">
        <w:trPr>
          <w:trHeight w:val="724"/>
        </w:trPr>
        <w:tc>
          <w:tcPr>
            <w:tcW w:w="567" w:type="dxa"/>
          </w:tcPr>
          <w:p w14:paraId="496913C1" w14:textId="77777777" w:rsidR="00B43299" w:rsidRDefault="00B43299" w:rsidP="00396578">
            <w:pPr>
              <w:pStyle w:val="TableParagraph"/>
              <w:spacing w:before="157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9357" w:type="dxa"/>
          </w:tcPr>
          <w:p w14:paraId="5F27B6FE" w14:textId="524234DC" w:rsidR="00B43299" w:rsidRDefault="00A2311D" w:rsidP="00396578">
            <w:pPr>
              <w:pStyle w:val="TableParagraph"/>
              <w:tabs>
                <w:tab w:val="left" w:pos="4831"/>
              </w:tabs>
              <w:spacing w:line="353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無本金交割新台幣遠期外匯交易，每筆金額在多少以上需要電告央行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無本金交割新台幣遠期外匯交易，每筆金額在一千五百萬美元以上之大額交易，應立即電話告知央行外匯局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無本金交割新台幣遠期外匯交易，每筆金額在六百萬美元以上之大額交易，應立即電話告知央行外匯局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無本金交割新台幣遠期外匯交易，每筆金額在一百萬美元以上之大額交易，應立即電話告知央行外匯局</w:t>
            </w:r>
            <w:r w:rsidR="00B43299">
              <w:rPr>
                <w:sz w:val="21"/>
                <w:lang w:eastAsia="zh-TW"/>
              </w:rPr>
              <w:t xml:space="preserve"> 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無本金交割新台幣遠期外匯交易，每筆金額在五百萬美元以上之大額交易，應立即電話告知央行外匯局</w:t>
            </w:r>
          </w:p>
        </w:tc>
        <w:tc>
          <w:tcPr>
            <w:tcW w:w="593" w:type="dxa"/>
          </w:tcPr>
          <w:p w14:paraId="11A40CFC" w14:textId="2B9167A8" w:rsidR="00B43299" w:rsidRDefault="00A2311D" w:rsidP="00396578">
            <w:pPr>
              <w:pStyle w:val="TableParagraph"/>
              <w:spacing w:before="157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B43299" w14:paraId="6AD9C0C5" w14:textId="77777777" w:rsidTr="00396578">
        <w:trPr>
          <w:trHeight w:val="726"/>
        </w:trPr>
        <w:tc>
          <w:tcPr>
            <w:tcW w:w="567" w:type="dxa"/>
          </w:tcPr>
          <w:p w14:paraId="68203789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9357" w:type="dxa"/>
          </w:tcPr>
          <w:p w14:paraId="36FF6959" w14:textId="2F0C59A7" w:rsidR="00B43299" w:rsidRDefault="00A2311D" w:rsidP="00396578">
            <w:pPr>
              <w:pStyle w:val="TableParagraph"/>
              <w:spacing w:line="353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無本金交割新台幣遠期外匯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(Non-Delivery Forward-NTD,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簡稱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NDF)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之操作原則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無原則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基本原則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即預期未來一段期間某幣別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例如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人民幣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匯率將貶值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可以預售遠匯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;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若預期某幣別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例如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人民幣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升值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則預購遠匯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基本原則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即預期未來一段期間某幣別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例如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人民幣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匯率將貶值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可以預購遠匯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;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若預期某幣別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例如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人民幣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升值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則預售遠匯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基本原則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即預期未來一段期間某幣別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例如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人民幣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匯率將升值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可以預購遠匯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;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若預期某幣別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例如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人民幣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貶值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則預售遠匯</w:t>
            </w:r>
          </w:p>
        </w:tc>
        <w:tc>
          <w:tcPr>
            <w:tcW w:w="593" w:type="dxa"/>
          </w:tcPr>
          <w:p w14:paraId="7F79485B" w14:textId="005F656B" w:rsidR="00B43299" w:rsidRDefault="00A2311D" w:rsidP="00396578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B43299" w14:paraId="206827D5" w14:textId="77777777" w:rsidTr="00396578">
        <w:trPr>
          <w:trHeight w:val="726"/>
        </w:trPr>
        <w:tc>
          <w:tcPr>
            <w:tcW w:w="567" w:type="dxa"/>
          </w:tcPr>
          <w:p w14:paraId="3EC52D31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357" w:type="dxa"/>
          </w:tcPr>
          <w:p w14:paraId="2D6392BC" w14:textId="13E868B8" w:rsidR="00B43299" w:rsidRDefault="00A2311D" w:rsidP="00396578">
            <w:pPr>
              <w:pStyle w:val="TableParagraph"/>
              <w:spacing w:line="354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換匯換利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(Cross Currency Swap; CCS)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交易之定義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B43299" w:rsidRPr="006262B8">
              <w:rPr>
                <w:sz w:val="21"/>
                <w:lang w:eastAsia="zh-TW"/>
              </w:rPr>
              <w:t xml:space="preserve"> 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是包括以一貨幣的現金流量交換另一貨幣之現金流量，亦即指交易雙方同意在一特定期間、依議定條件，交換兩種不同幣別的本金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注意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!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並非兌換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及其所衍生之利息支出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是包括以一貨幣的匯率交換另一貨幣之匯率，並於將來反向沖銷交易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;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亦即指交易雙方同意在一特定期間、依議定條件，交換兩種不同幣別的本金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注意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!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並非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lastRenderedPageBreak/>
              <w:t>兌換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及其所衍生之利息支出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是包括以一貨幣的匯率交換另一貨幣之現金流量，並於將來反向沖銷交易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;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亦即指交易雙方同意在一特定期間、依議定條件，交換兩種不同幣別的本金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注意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!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並非兌換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及其所衍生之利息支出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是包括以一貨幣的現金流量交換另一貨幣之現金流量，並於將來反向沖銷交易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;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亦即指交易雙方同意在一特定期間、依議定條件，交換兩種不同幣別的本金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注意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!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並非兌換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及其所衍生之利息支出</w:t>
            </w:r>
          </w:p>
        </w:tc>
        <w:tc>
          <w:tcPr>
            <w:tcW w:w="593" w:type="dxa"/>
          </w:tcPr>
          <w:p w14:paraId="6000F948" w14:textId="253D317E" w:rsidR="00B43299" w:rsidRDefault="00A2311D" w:rsidP="00396578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4</w:t>
            </w:r>
          </w:p>
        </w:tc>
      </w:tr>
      <w:tr w:rsidR="00B43299" w14:paraId="1F25E2F2" w14:textId="77777777" w:rsidTr="00396578">
        <w:trPr>
          <w:trHeight w:val="726"/>
        </w:trPr>
        <w:tc>
          <w:tcPr>
            <w:tcW w:w="567" w:type="dxa"/>
          </w:tcPr>
          <w:p w14:paraId="56CCE6B3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9357" w:type="dxa"/>
          </w:tcPr>
          <w:p w14:paraId="0DBB5672" w14:textId="0103A1B9" w:rsidR="00B43299" w:rsidRDefault="00D50AE3" w:rsidP="00396578">
            <w:pPr>
              <w:pStyle w:val="TableParagraph"/>
              <w:spacing w:line="354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換匯換利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(Cross Currency Swap; CCS)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交易之利率型態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B43299">
              <w:rPr>
                <w:sz w:val="21"/>
                <w:lang w:eastAsia="zh-TW"/>
              </w:rPr>
              <w:t xml:space="preserve"> 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利率部份，交換的型態則為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固定利率交換固定利率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利率部份，交換的型態則為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固定利率交換浮動利率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利率部份，交換的型態則可分為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固定利率交換固定利率、固定利率交換浮動利率、浮動利率交換浮動利率</w:t>
            </w:r>
            <w:r w:rsidR="00B43299">
              <w:rPr>
                <w:rFonts w:ascii="Helvetica" w:hAnsi="Helvetica" w:cs="Helvetica" w:hint="eastAsia"/>
                <w:color w:val="555555"/>
                <w:shd w:val="clear" w:color="auto" w:fill="F4F7F8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利率部份，交換的型態則為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浮動利率交換浮動利率</w:t>
            </w:r>
          </w:p>
        </w:tc>
        <w:tc>
          <w:tcPr>
            <w:tcW w:w="593" w:type="dxa"/>
          </w:tcPr>
          <w:p w14:paraId="66EFF8BA" w14:textId="77777777" w:rsidR="00B43299" w:rsidRDefault="00B43299" w:rsidP="00396578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B43299" w14:paraId="0E1A60C5" w14:textId="77777777" w:rsidTr="00396578">
        <w:trPr>
          <w:trHeight w:val="727"/>
        </w:trPr>
        <w:tc>
          <w:tcPr>
            <w:tcW w:w="567" w:type="dxa"/>
          </w:tcPr>
          <w:p w14:paraId="0B801C8F" w14:textId="77777777" w:rsidR="00B43299" w:rsidRDefault="00B43299" w:rsidP="00396578">
            <w:pPr>
              <w:pStyle w:val="TableParagraph"/>
              <w:spacing w:before="160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9357" w:type="dxa"/>
          </w:tcPr>
          <w:p w14:paraId="4CD447BB" w14:textId="0ABAF1F4" w:rsidR="00B43299" w:rsidRDefault="00D50AE3" w:rsidP="00396578">
            <w:pPr>
              <w:pStyle w:val="TableParagraph"/>
              <w:spacing w:line="355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換匯換利之承作對象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B43299">
              <w:rPr>
                <w:sz w:val="21"/>
                <w:lang w:eastAsia="zh-TW"/>
              </w:rPr>
              <w:t xml:space="preserve"> 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國內法人為限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國外法人為限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國內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/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外法人為限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國內法人以及自然人為限</w:t>
            </w:r>
            <w:r w:rsidR="00B43299">
              <w:rPr>
                <w:sz w:val="21"/>
                <w:lang w:eastAsia="zh-TW"/>
              </w:rPr>
              <w:t xml:space="preserve"> </w:t>
            </w:r>
          </w:p>
        </w:tc>
        <w:tc>
          <w:tcPr>
            <w:tcW w:w="593" w:type="dxa"/>
          </w:tcPr>
          <w:p w14:paraId="06D0AA1A" w14:textId="14C50D62" w:rsidR="00B43299" w:rsidRDefault="00D50AE3" w:rsidP="00396578">
            <w:pPr>
              <w:pStyle w:val="TableParagraph"/>
              <w:spacing w:before="160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B43299" w14:paraId="43343557" w14:textId="77777777" w:rsidTr="00396578">
        <w:trPr>
          <w:trHeight w:val="1089"/>
        </w:trPr>
        <w:tc>
          <w:tcPr>
            <w:tcW w:w="567" w:type="dxa"/>
          </w:tcPr>
          <w:p w14:paraId="24FF1752" w14:textId="77777777" w:rsidR="00B43299" w:rsidRDefault="00B43299" w:rsidP="00396578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692E6FA4" w14:textId="77777777" w:rsidR="00B43299" w:rsidRDefault="00B43299" w:rsidP="00396578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9357" w:type="dxa"/>
          </w:tcPr>
          <w:p w14:paraId="357DD207" w14:textId="573A90CB" w:rsidR="00B43299" w:rsidRDefault="00D50AE3" w:rsidP="00396578">
            <w:pPr>
              <w:pStyle w:val="TableParagraph"/>
              <w:spacing w:line="349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換匯換利之憑辦文件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辦理期初及期末皆交換本金之類型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國內法人須檢附交易文件；木金及利息於交割時，得不計入年度結匯額度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辦理期初及期末皆交換本金之類型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國內法人無須檢附交易文件；木金及利息於交割時，計入年度結匯額度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辦理期初及期末皆交換本金之類型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國內法人無須檢附交易文件；木金及利息於交割時，得不計入年度結匯額度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6262B8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辦理期初及期末皆交換本金之類型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: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國內法人須檢附交易文件；木金及利息於交割時，得計入年度結匯額度</w:t>
            </w:r>
          </w:p>
        </w:tc>
        <w:tc>
          <w:tcPr>
            <w:tcW w:w="593" w:type="dxa"/>
          </w:tcPr>
          <w:p w14:paraId="36EF1C27" w14:textId="77777777" w:rsidR="00B43299" w:rsidRDefault="00B43299" w:rsidP="00396578">
            <w:pPr>
              <w:pStyle w:val="TableParagraph"/>
              <w:spacing w:before="6"/>
              <w:ind w:left="0"/>
              <w:rPr>
                <w:rFonts w:ascii="Times New Roman"/>
                <w:sz w:val="29"/>
                <w:lang w:eastAsia="zh-TW"/>
              </w:rPr>
            </w:pPr>
          </w:p>
          <w:p w14:paraId="0E17D432" w14:textId="1DC15C22" w:rsidR="00B43299" w:rsidRDefault="00D50AE3" w:rsidP="00396578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B43299" w14:paraId="496284A5" w14:textId="77777777" w:rsidTr="00396578">
        <w:trPr>
          <w:trHeight w:val="1089"/>
        </w:trPr>
        <w:tc>
          <w:tcPr>
            <w:tcW w:w="567" w:type="dxa"/>
          </w:tcPr>
          <w:p w14:paraId="44EF26C4" w14:textId="77777777" w:rsidR="00B43299" w:rsidRDefault="00B43299" w:rsidP="00396578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25AF1714" w14:textId="77777777" w:rsidR="00B43299" w:rsidRDefault="00B43299" w:rsidP="00396578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357" w:type="dxa"/>
          </w:tcPr>
          <w:p w14:paraId="491526FE" w14:textId="2D3168C1" w:rsidR="00B43299" w:rsidRDefault="00D50AE3" w:rsidP="00396578">
            <w:pPr>
              <w:pStyle w:val="TableParagraph"/>
              <w:spacing w:line="349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換匯換利其他型態之交易之憑辦文件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pacing w:val="-3"/>
                <w:sz w:val="21"/>
                <w:lang w:eastAsia="zh-TW"/>
              </w:rPr>
              <w:t xml:space="preserve"> </w:t>
            </w:r>
            <w:r w:rsidR="00B43299">
              <w:rPr>
                <w:spacing w:val="-3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3"/>
                <w:sz w:val="21"/>
                <w:lang w:eastAsia="zh-TW"/>
              </w:rPr>
              <w:t>1</w:t>
            </w:r>
            <w:r w:rsidR="00B43299" w:rsidRPr="006262B8">
              <w:rPr>
                <w:spacing w:val="-3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其他類型之新臺幣與外幣間換匯換利交易，銀行承作時須要求客戶檢附實際需要證明文件、且於交割時應列計申報辦法第四條第一項第三款所訂之結匯金額，但其外匯收支或交易性質為出、進口貸款、提供勞將或經有關主管機關核准者，得不列上述結匯金額</w:t>
            </w:r>
            <w:r w:rsidR="00B43299">
              <w:rPr>
                <w:spacing w:val="-3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3"/>
                <w:sz w:val="21"/>
                <w:lang w:eastAsia="zh-TW"/>
              </w:rPr>
              <w:t>2</w:t>
            </w:r>
            <w:r w:rsidR="00B43299" w:rsidRPr="006262B8">
              <w:rPr>
                <w:spacing w:val="-3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其他類型之新臺幣與外幣間換匯換利交易，銀行承作時不須要求客戶檢附實際需要證明文件、且於交割時應列計申報辦法第四條第一項第三款所訂之結匯金額，但其外匯收支或交易性質為出、進口貸款、提供勞將或經有關主管機關核准者，得不列上述結匯金額</w:t>
            </w:r>
            <w:r w:rsidR="00B43299">
              <w:rPr>
                <w:spacing w:val="-3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3"/>
                <w:sz w:val="21"/>
                <w:lang w:eastAsia="zh-TW"/>
              </w:rPr>
              <w:t>3</w:t>
            </w:r>
            <w:r w:rsidR="00B43299" w:rsidRPr="006262B8">
              <w:rPr>
                <w:spacing w:val="-3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其他類型之新臺幣與外幣間換匯換利交易，銀行承作時須要求客戶檢附實際需要證明文件、且於交割時應列計申報辦法第四條第一項第三款所訂之結匯金額，但其外匯收支或交易性質為出、進口貸款、提供勞將或經有關主管機關核准者，也會列上述結匯金額</w:t>
            </w:r>
            <w:r w:rsidR="00B43299">
              <w:rPr>
                <w:spacing w:val="-3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3"/>
                <w:sz w:val="21"/>
                <w:lang w:eastAsia="zh-TW"/>
              </w:rPr>
              <w:t>4</w:t>
            </w:r>
            <w:r w:rsidR="00B43299" w:rsidRPr="006262B8">
              <w:rPr>
                <w:spacing w:val="-3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其他類型之新臺幣與外幣間換匯換利交易，銀行承作時不須要求客戶檢附實際需要證明文件、且於交割時應列計申報辦法第四條第一項第三款所訂之結匯金額，但其外匯收支或交易性質為出、進口貸款、提供勞將或經有關主管機關核准者，也會列上述結匯金額</w:t>
            </w:r>
          </w:p>
        </w:tc>
        <w:tc>
          <w:tcPr>
            <w:tcW w:w="593" w:type="dxa"/>
          </w:tcPr>
          <w:p w14:paraId="4B85B81D" w14:textId="77777777" w:rsidR="00B43299" w:rsidRDefault="00B43299" w:rsidP="00396578">
            <w:pPr>
              <w:pStyle w:val="TableParagraph"/>
              <w:spacing w:before="6"/>
              <w:ind w:left="0"/>
              <w:rPr>
                <w:rFonts w:ascii="Times New Roman"/>
                <w:sz w:val="29"/>
                <w:lang w:eastAsia="zh-TW"/>
              </w:rPr>
            </w:pPr>
          </w:p>
          <w:p w14:paraId="63F50235" w14:textId="21B807A0" w:rsidR="00B43299" w:rsidRDefault="00D50AE3" w:rsidP="00396578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B43299" w14:paraId="4593E69C" w14:textId="77777777" w:rsidTr="00396578">
        <w:trPr>
          <w:trHeight w:val="1089"/>
        </w:trPr>
        <w:tc>
          <w:tcPr>
            <w:tcW w:w="567" w:type="dxa"/>
          </w:tcPr>
          <w:p w14:paraId="63877C2A" w14:textId="77777777" w:rsidR="00B43299" w:rsidRDefault="00B43299" w:rsidP="00396578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5FB3495F" w14:textId="77777777" w:rsidR="00B43299" w:rsidRDefault="00B43299" w:rsidP="00396578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9357" w:type="dxa"/>
          </w:tcPr>
          <w:p w14:paraId="7C12B3D9" w14:textId="3776669C" w:rsidR="00B43299" w:rsidRDefault="00D50AE3" w:rsidP="00396578">
            <w:pPr>
              <w:pStyle w:val="TableParagraph"/>
              <w:spacing w:line="345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換匯換利之申報書性質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C87876">
              <w:rPr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辦理本項業務、於結匯時應依申報辦法填寫申報書、其中第四欄「外匯收支或交易性質」應依照實際匯款性質填寫、及註明「換匯換利交易」。並於外匯水單上註明本行外匯局訂定之「匯款分類及編號」，連同申報書填報外匯交易日報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辦理本項業務、於結匯時應依申報辦法填寫申報書、其中第四欄「外匯收支或交易性質」不用應依照實際匯款性質填寫、及註明「換匯換利交易」。並於外匯水單上註明本行外匯局訂定之「匯款分類及編號」，連同申報書填報外匯交易日報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辦理本項業務、於結匯時應依申報辦法填寫申報書、其中第四欄「外匯收支或交易性質」應依照實際匯款性質填寫、及註明「換匯換利交易」。並於外匯水單上註明本行外匯局訂定之「匯款分類及編號」，直接申請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辦理本項業務、於結匯時應依申報辦法填寫申報書、其中第四欄「外匯收支或交易性質」不應依照實際匯款性質填寫、及註明「換匯換利交易」。並於外匯水單上註明本行外匯局訂定之「匯款分類及編號」，直接申請</w:t>
            </w:r>
            <w:r w:rsidR="00B43299">
              <w:rPr>
                <w:sz w:val="21"/>
                <w:lang w:eastAsia="zh-TW"/>
              </w:rPr>
              <w:t xml:space="preserve"> </w:t>
            </w:r>
          </w:p>
        </w:tc>
        <w:tc>
          <w:tcPr>
            <w:tcW w:w="593" w:type="dxa"/>
          </w:tcPr>
          <w:p w14:paraId="748A9313" w14:textId="77777777" w:rsidR="00B43299" w:rsidRDefault="00B43299" w:rsidP="00396578">
            <w:pPr>
              <w:pStyle w:val="TableParagraph"/>
              <w:spacing w:before="9"/>
              <w:ind w:left="0"/>
              <w:rPr>
                <w:rFonts w:ascii="Times New Roman"/>
                <w:sz w:val="29"/>
                <w:lang w:eastAsia="zh-TW"/>
              </w:rPr>
            </w:pPr>
          </w:p>
          <w:p w14:paraId="03393ADD" w14:textId="23980E22" w:rsidR="00B43299" w:rsidRDefault="00D50AE3" w:rsidP="00396578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B43299" w14:paraId="67C52139" w14:textId="77777777" w:rsidTr="00396578">
        <w:trPr>
          <w:trHeight w:val="726"/>
        </w:trPr>
        <w:tc>
          <w:tcPr>
            <w:tcW w:w="567" w:type="dxa"/>
          </w:tcPr>
          <w:p w14:paraId="5602BC99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9357" w:type="dxa"/>
          </w:tcPr>
          <w:p w14:paraId="1A80666A" w14:textId="7B8769EF" w:rsidR="00B43299" w:rsidRDefault="00D50AE3" w:rsidP="00396578">
            <w:pPr>
              <w:pStyle w:val="TableParagraph"/>
              <w:spacing w:line="354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無本金交割新台幣遠期外匯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(Non-Delivery Forward-NTD,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簡稱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NDF)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之業務性質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pacing w:val="-9"/>
                <w:sz w:val="21"/>
                <w:lang w:eastAsia="zh-TW"/>
              </w:rPr>
              <w:t xml:space="preserve"> </w:t>
            </w:r>
            <w:r w:rsidR="00B43299">
              <w:rPr>
                <w:spacing w:val="-9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9"/>
                <w:sz w:val="21"/>
                <w:lang w:eastAsia="zh-TW"/>
              </w:rPr>
              <w:t>1</w:t>
            </w:r>
            <w:r w:rsidR="00B43299" w:rsidRPr="00C87876">
              <w:rPr>
                <w:spacing w:val="-9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無本金交割新台幣遠期外匯，實為近期外匯的一種</w:t>
            </w:r>
            <w:r w:rsidR="00B43299">
              <w:rPr>
                <w:spacing w:val="-9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9"/>
                <w:sz w:val="21"/>
                <w:lang w:eastAsia="zh-TW"/>
              </w:rPr>
              <w:t>2</w:t>
            </w:r>
            <w:r w:rsidR="00B43299" w:rsidRPr="00C87876">
              <w:rPr>
                <w:spacing w:val="-9"/>
                <w:sz w:val="21"/>
                <w:lang w:eastAsia="zh-TW"/>
              </w:rPr>
              <w:t xml:space="preserve">)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無本金交割新台幣遠期外匯，實為遠期外匯的一種</w:t>
            </w:r>
            <w:r w:rsidR="00B43299">
              <w:rPr>
                <w:spacing w:val="-9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9"/>
                <w:sz w:val="21"/>
                <w:lang w:eastAsia="zh-TW"/>
              </w:rPr>
              <w:t>3</w:t>
            </w:r>
            <w:r w:rsidR="00B43299" w:rsidRPr="00C87876">
              <w:rPr>
                <w:spacing w:val="-9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無本金交割新台幣遠期外匯，實為即期外匯的一種</w:t>
            </w:r>
            <w:r w:rsidR="00B43299">
              <w:rPr>
                <w:spacing w:val="-9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9"/>
                <w:sz w:val="21"/>
                <w:lang w:eastAsia="zh-TW"/>
              </w:rPr>
              <w:t>4</w:t>
            </w:r>
            <w:r w:rsidR="00B43299" w:rsidRPr="00C87876">
              <w:rPr>
                <w:spacing w:val="-9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無本金交割新台幣遠期外匯，不是遠期外匯的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lastRenderedPageBreak/>
              <w:t>一種</w:t>
            </w:r>
          </w:p>
        </w:tc>
        <w:tc>
          <w:tcPr>
            <w:tcW w:w="593" w:type="dxa"/>
          </w:tcPr>
          <w:p w14:paraId="4AE5AA5A" w14:textId="77777777" w:rsidR="00B43299" w:rsidRDefault="00B43299" w:rsidP="00396578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2</w:t>
            </w:r>
          </w:p>
        </w:tc>
      </w:tr>
      <w:tr w:rsidR="00B43299" w14:paraId="539E0C59" w14:textId="77777777" w:rsidTr="00396578">
        <w:trPr>
          <w:trHeight w:val="726"/>
        </w:trPr>
        <w:tc>
          <w:tcPr>
            <w:tcW w:w="567" w:type="dxa"/>
          </w:tcPr>
          <w:p w14:paraId="10988271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9357" w:type="dxa"/>
          </w:tcPr>
          <w:p w14:paraId="45D0F0C2" w14:textId="1C700D9C" w:rsidR="00B43299" w:rsidRDefault="00D50AE3" w:rsidP="00396578">
            <w:pPr>
              <w:pStyle w:val="TableParagraph"/>
              <w:spacing w:line="354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無本金交割新台幣遠期外匯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(Non-Delivery Forward-NTD,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簡稱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NDF)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到期時需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到期時，只需就合約的議定匯率，與到期時的即期匯率之間的差額清算收付。除避險功能外，但不具有濃厚的投機性質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到期時，只需就合約的議定匯率，與到期時的遠期匯率之間的差額清算收付。除避險功能外，也具有濃厚的投機性質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到期時，只需就合約的議定匯率，與到期時的遠期匯率之間的差額清算收付。除避險功能外，但不具有濃厚的投機性質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到期時，只需就合約的議定匯率，與到期時的即期匯率之間的差額清算收付。除避險功能外，也具有濃厚的投機性質</w:t>
            </w:r>
          </w:p>
        </w:tc>
        <w:tc>
          <w:tcPr>
            <w:tcW w:w="593" w:type="dxa"/>
          </w:tcPr>
          <w:p w14:paraId="7BB115CB" w14:textId="6370806D" w:rsidR="00B43299" w:rsidRDefault="00D50AE3" w:rsidP="00396578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B43299" w14:paraId="29BDFB14" w14:textId="77777777" w:rsidTr="00396578">
        <w:trPr>
          <w:trHeight w:val="726"/>
        </w:trPr>
        <w:tc>
          <w:tcPr>
            <w:tcW w:w="567" w:type="dxa"/>
          </w:tcPr>
          <w:p w14:paraId="714C990E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9357" w:type="dxa"/>
          </w:tcPr>
          <w:p w14:paraId="2298AF6A" w14:textId="582DC9BA" w:rsidR="00B43299" w:rsidRDefault="00D50AE3" w:rsidP="00396578">
            <w:pPr>
              <w:pStyle w:val="TableParagraph"/>
              <w:spacing w:line="355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換匯交易之展期應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應依當時市場匯率重訂展期價格但可依原價格展期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應依當時市場匯率重訂展期價格且不得依原價格展期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不應依當時市場匯率重訂展期價格且不得依原價格展期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不應依當時市場匯率重訂展期價格但可依原價格展期</w:t>
            </w:r>
          </w:p>
        </w:tc>
        <w:tc>
          <w:tcPr>
            <w:tcW w:w="593" w:type="dxa"/>
          </w:tcPr>
          <w:p w14:paraId="568E3CC3" w14:textId="59D00ACA" w:rsidR="00B43299" w:rsidRDefault="00D50AE3" w:rsidP="00396578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B43299" w14:paraId="2953F1A2" w14:textId="77777777" w:rsidTr="00396578">
        <w:trPr>
          <w:trHeight w:val="727"/>
        </w:trPr>
        <w:tc>
          <w:tcPr>
            <w:tcW w:w="567" w:type="dxa"/>
          </w:tcPr>
          <w:p w14:paraId="7855F9DD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9357" w:type="dxa"/>
          </w:tcPr>
          <w:p w14:paraId="103F41DA" w14:textId="34D7B929" w:rsidR="00B43299" w:rsidRDefault="00D50AE3" w:rsidP="00396578">
            <w:pPr>
              <w:pStyle w:val="TableParagraph"/>
              <w:spacing w:line="355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外幣選擇權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(Foreign Currency Options)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之定義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為一種外幣買賣權利契約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,"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購買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"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契的者於支付權利金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(premium)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予出售契約者後，得自該契約成立之日起、至預先約定未來某一時日前，以遠期匯率之訂定的履約價格，要求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"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出售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”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契約者買入或賣出定量之外幣。此種契約由於購買契約者至到期日前評估無要求履約之實益，致放棄行使權利而自動失效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為一種外幣買賣權利契約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,"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購買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"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契的者於支付權利金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(premium)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予出售契約者後，得自該契約成立之日起、至預先約定未來某一時日前，以即期匯率之訂定的履約價格，要求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"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出售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”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契約者買入或賣出定量之外幣。此種契約由於購買契約者至到期日前評估無要求履約之實益，致放棄行使權利而自動失效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為一種外幣買賣權利契約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,"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購買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"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契的者於支付權利金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(premium)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予出售契約者後，得自該契約成立之日起、至預先約定未來某一時日前，以到期匯率之訂定的履約價格，要求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"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出售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”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契約者買入或賣出定量之外幣。此種契約由於購買契約者至到期日前評估無要求履約之實益，致放棄行使權利而自動失效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為一種外幣買賣權利契約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,"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購買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"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契的者於支付權利金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(premium)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予出售契約者後，得自該契約成立之日起、至預先約定未來某一時日前，以事先約定之履約價格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(strike price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或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exercise price)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，要求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"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出售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”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契約者買入或賣出定量之外幣。此種契約由於購買契約者至到期日前評估無要求履約之實益，致放棄行使權利而自動失效</w:t>
            </w:r>
          </w:p>
        </w:tc>
        <w:tc>
          <w:tcPr>
            <w:tcW w:w="593" w:type="dxa"/>
          </w:tcPr>
          <w:p w14:paraId="65CDF59A" w14:textId="5B0F7A7A" w:rsidR="00B43299" w:rsidRDefault="00D50AE3" w:rsidP="00396578">
            <w:pPr>
              <w:pStyle w:val="TableParagraph"/>
              <w:spacing w:before="159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B43299" w14:paraId="346D17D1" w14:textId="77777777" w:rsidTr="00396578">
        <w:trPr>
          <w:trHeight w:val="727"/>
        </w:trPr>
        <w:tc>
          <w:tcPr>
            <w:tcW w:w="567" w:type="dxa"/>
          </w:tcPr>
          <w:p w14:paraId="1469A1C8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30</w:t>
            </w:r>
          </w:p>
        </w:tc>
        <w:tc>
          <w:tcPr>
            <w:tcW w:w="9357" w:type="dxa"/>
          </w:tcPr>
          <w:p w14:paraId="33702589" w14:textId="567CEC79" w:rsidR="00B43299" w:rsidRPr="00C87876" w:rsidRDefault="00D50AE3" w:rsidP="00396578">
            <w:pPr>
              <w:pStyle w:val="TableParagraph"/>
              <w:tabs>
                <w:tab w:val="left" w:pos="8715"/>
              </w:tabs>
              <w:spacing w:line="352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外幣選擇權之種類，依履約期限之不同可分為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B43299">
              <w:rPr>
                <w:sz w:val="21"/>
                <w:lang w:eastAsia="zh-TW"/>
              </w:rPr>
              <w:t xml:space="preserve"> 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C87876">
              <w:rPr>
                <w:sz w:val="21"/>
                <w:lang w:eastAsia="zh-TW"/>
              </w:rPr>
              <w:t>)</w:t>
            </w:r>
            <w:r w:rsidR="002D35A3">
              <w:rPr>
                <w:rFonts w:ascii="Helvetica" w:hAnsi="Helvetica" w:cs="Helvetica"/>
                <w:color w:val="555555"/>
                <w:shd w:val="clear" w:color="auto" w:fill="F4F7F8"/>
              </w:rPr>
              <w:t>歐式選擇權以及亞洲式選擇權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C87876">
              <w:rPr>
                <w:sz w:val="21"/>
                <w:lang w:eastAsia="zh-TW"/>
              </w:rPr>
              <w:t>)</w:t>
            </w:r>
            <w:r w:rsidR="002D35A3">
              <w:rPr>
                <w:rFonts w:ascii="Helvetica" w:hAnsi="Helvetica" w:cs="Helvetica"/>
                <w:color w:val="555555"/>
                <w:shd w:val="clear" w:color="auto" w:fill="F4F7F8"/>
              </w:rPr>
              <w:t>美式選擇權以及亞洲式選擇權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C87876">
              <w:rPr>
                <w:sz w:val="21"/>
                <w:lang w:eastAsia="zh-TW"/>
              </w:rPr>
              <w:t>)</w:t>
            </w:r>
            <w:r w:rsidR="002D35A3">
              <w:rPr>
                <w:rFonts w:ascii="Helvetica" w:hAnsi="Helvetica" w:cs="Helvetica"/>
                <w:color w:val="555555"/>
                <w:shd w:val="clear" w:color="auto" w:fill="F4F7F8"/>
              </w:rPr>
              <w:t>美式選擇權以及歐式選擇權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C87876">
              <w:rPr>
                <w:sz w:val="21"/>
                <w:lang w:eastAsia="zh-TW"/>
              </w:rPr>
              <w:t>)</w:t>
            </w:r>
            <w:r w:rsidR="002D35A3">
              <w:rPr>
                <w:rFonts w:ascii="Helvetica" w:hAnsi="Helvetica" w:cs="Helvetica"/>
                <w:color w:val="555555"/>
                <w:shd w:val="clear" w:color="auto" w:fill="F4F7F8"/>
              </w:rPr>
              <w:t>日式選擇權以及美式選擇權</w:t>
            </w:r>
          </w:p>
        </w:tc>
        <w:tc>
          <w:tcPr>
            <w:tcW w:w="593" w:type="dxa"/>
          </w:tcPr>
          <w:p w14:paraId="705CD53A" w14:textId="38AC919F" w:rsidR="00B43299" w:rsidRDefault="002D35A3" w:rsidP="00396578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3</w:t>
            </w:r>
          </w:p>
        </w:tc>
      </w:tr>
      <w:tr w:rsidR="00B43299" w14:paraId="3944F55B" w14:textId="77777777" w:rsidTr="00396578">
        <w:trPr>
          <w:trHeight w:val="727"/>
        </w:trPr>
        <w:tc>
          <w:tcPr>
            <w:tcW w:w="567" w:type="dxa"/>
          </w:tcPr>
          <w:p w14:paraId="58378F9B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31</w:t>
            </w:r>
          </w:p>
        </w:tc>
        <w:tc>
          <w:tcPr>
            <w:tcW w:w="9357" w:type="dxa"/>
          </w:tcPr>
          <w:p w14:paraId="668D0F9D" w14:textId="0488B11A" w:rsidR="00B43299" w:rsidRPr="00C87876" w:rsidRDefault="002D35A3" w:rsidP="00396578">
            <w:pPr>
              <w:pStyle w:val="TableParagraph"/>
              <w:tabs>
                <w:tab w:val="left" w:pos="8715"/>
              </w:tabs>
              <w:spacing w:line="352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外幣選擇權之種類，依交易型態之不同可分為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>
              <w:rPr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C87876">
              <w:rPr>
                <w:sz w:val="21"/>
                <w:lang w:eastAsia="zh-TW"/>
              </w:rPr>
              <w:t>)</w:t>
            </w:r>
            <w:r w:rsidR="00186744">
              <w:rPr>
                <w:rFonts w:ascii="Helvetica" w:hAnsi="Helvetica" w:cs="Helvetica"/>
                <w:color w:val="555555"/>
                <w:shd w:val="clear" w:color="auto" w:fill="F4F7F8"/>
              </w:rPr>
              <w:t>買賣選擇權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C87876">
              <w:rPr>
                <w:sz w:val="21"/>
                <w:lang w:eastAsia="zh-TW"/>
              </w:rPr>
              <w:t xml:space="preserve">) </w:t>
            </w:r>
            <w:r w:rsidR="00186744">
              <w:rPr>
                <w:rFonts w:ascii="Helvetica" w:hAnsi="Helvetica" w:cs="Helvetica"/>
                <w:color w:val="555555"/>
                <w:shd w:val="clear" w:color="auto" w:fill="F4F7F8"/>
              </w:rPr>
              <w:t>賣出選擇權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C87876">
              <w:rPr>
                <w:sz w:val="21"/>
                <w:lang w:eastAsia="zh-TW"/>
              </w:rPr>
              <w:t>)</w:t>
            </w:r>
            <w:r w:rsidR="00186744">
              <w:rPr>
                <w:rFonts w:ascii="Helvetica" w:hAnsi="Helvetica" w:cs="Helvetica"/>
                <w:color w:val="555555"/>
                <w:shd w:val="clear" w:color="auto" w:fill="F4F7F8"/>
              </w:rPr>
              <w:t>買入選擇權以及賣出選擇權</w:t>
            </w:r>
            <w:r w:rsidR="00186744">
              <w:rPr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C87876">
              <w:rPr>
                <w:sz w:val="21"/>
                <w:lang w:eastAsia="zh-TW"/>
              </w:rPr>
              <w:t>)</w:t>
            </w:r>
            <w:r w:rsidR="00186744">
              <w:rPr>
                <w:rFonts w:ascii="Helvetica" w:hAnsi="Helvetica" w:cs="Helvetica"/>
                <w:color w:val="555555"/>
                <w:shd w:val="clear" w:color="auto" w:fill="F4F7F8"/>
              </w:rPr>
              <w:t>買入選擇權</w:t>
            </w:r>
          </w:p>
        </w:tc>
        <w:tc>
          <w:tcPr>
            <w:tcW w:w="593" w:type="dxa"/>
          </w:tcPr>
          <w:p w14:paraId="4C9CDFDD" w14:textId="77777777" w:rsidR="00B43299" w:rsidRDefault="00B43299" w:rsidP="00396578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1</w:t>
            </w:r>
          </w:p>
        </w:tc>
      </w:tr>
      <w:tr w:rsidR="00B43299" w14:paraId="184E6C6A" w14:textId="77777777" w:rsidTr="00396578">
        <w:trPr>
          <w:trHeight w:val="727"/>
        </w:trPr>
        <w:tc>
          <w:tcPr>
            <w:tcW w:w="567" w:type="dxa"/>
          </w:tcPr>
          <w:p w14:paraId="25857642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32</w:t>
            </w:r>
          </w:p>
        </w:tc>
        <w:tc>
          <w:tcPr>
            <w:tcW w:w="9357" w:type="dxa"/>
          </w:tcPr>
          <w:p w14:paraId="0C167F6C" w14:textId="7561D486" w:rsidR="00B43299" w:rsidRPr="00C87876" w:rsidRDefault="00186744" w:rsidP="00396578">
            <w:pPr>
              <w:pStyle w:val="TableParagraph"/>
              <w:tabs>
                <w:tab w:val="left" w:pos="8715"/>
              </w:tabs>
              <w:spacing w:line="352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外幣選擇權之承做對象與期限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B43299">
              <w:rPr>
                <w:sz w:val="21"/>
                <w:lang w:eastAsia="zh-TW"/>
              </w:rPr>
              <w:t xml:space="preserve"> 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國外法人為限且到期履約時得以差額或總額交割，且應於契約中訂明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本國銀行為限且到期履約時得以差額或總額交割，且應於契約中訂明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本國内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法人為限且到期履約時得以差額或總額交割，且應於契約中訂明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國外銀行為限且到期履約時得以差額或總額交割，且應於契約中訂明</w:t>
            </w:r>
            <w:r w:rsidR="00B43299" w:rsidRPr="00C87876">
              <w:rPr>
                <w:sz w:val="21"/>
                <w:lang w:eastAsia="zh-TW"/>
              </w:rPr>
              <w:t xml:space="preserve"> </w:t>
            </w:r>
          </w:p>
        </w:tc>
        <w:tc>
          <w:tcPr>
            <w:tcW w:w="593" w:type="dxa"/>
          </w:tcPr>
          <w:p w14:paraId="5623039C" w14:textId="0027955C" w:rsidR="00B43299" w:rsidRDefault="00186744" w:rsidP="00396578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3</w:t>
            </w:r>
          </w:p>
        </w:tc>
      </w:tr>
      <w:tr w:rsidR="00B43299" w14:paraId="007E951F" w14:textId="77777777" w:rsidTr="00396578">
        <w:trPr>
          <w:trHeight w:val="727"/>
        </w:trPr>
        <w:tc>
          <w:tcPr>
            <w:tcW w:w="567" w:type="dxa"/>
          </w:tcPr>
          <w:p w14:paraId="13A1D1D6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33</w:t>
            </w:r>
          </w:p>
        </w:tc>
        <w:tc>
          <w:tcPr>
            <w:tcW w:w="9357" w:type="dxa"/>
          </w:tcPr>
          <w:p w14:paraId="41FBC27A" w14:textId="13D6F295" w:rsidR="00B43299" w:rsidRPr="00C87876" w:rsidRDefault="00186744" w:rsidP="00396578">
            <w:pPr>
              <w:pStyle w:val="TableParagraph"/>
              <w:tabs>
                <w:tab w:val="left" w:pos="8715"/>
              </w:tabs>
              <w:spacing w:line="352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外幣選擇權之幣別與類型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B43299">
              <w:rPr>
                <w:sz w:val="21"/>
                <w:lang w:eastAsia="zh-TW"/>
              </w:rPr>
              <w:t xml:space="preserve"> 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權利金及履約交割之幣別，得以所承作交易之外幣或新臺幣為之，且應於契約中訂明。而類型，能辦理複雜型選擇權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權利金及履約交割之幣別，得以所承作交易之外幣或新臺幣為之，且應於契約中訂明。而類型，不僅能辦理陽春型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(Plain Vanilla)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選擇權也可辨理其他複雜型選擇權。。且不用經本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央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行許可，就可以將本項業務自行組合或與其他衍生性商品、新臺幣或外幣本金或其他業務、產品組合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權利金及履約交割之幣別，得以所承作交易之外幣或新臺幣為之，且應於契約中訂明。而類型，不僅能辦理陽春型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(Plain Vanilla)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選擇權也可辨理其他複雜型選擇權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C87876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權利金及履約交割之幣別，得以所承作交易之外幣或新臺幣為之，且應於契約中訂明。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-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而類型，僅得辦理陽春型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(Plain Vanilla)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選擇權。且非經本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央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行許可，不得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lastRenderedPageBreak/>
              <w:t>就本項業務自行組合或與其他衍生性商品、新臺幣或外幣本金或其他業務、產品組合</w:t>
            </w:r>
          </w:p>
        </w:tc>
        <w:tc>
          <w:tcPr>
            <w:tcW w:w="593" w:type="dxa"/>
          </w:tcPr>
          <w:p w14:paraId="7260A3F3" w14:textId="4110C1B4" w:rsidR="00B43299" w:rsidRDefault="00186744" w:rsidP="00396578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lastRenderedPageBreak/>
              <w:t>4</w:t>
            </w:r>
          </w:p>
        </w:tc>
      </w:tr>
      <w:tr w:rsidR="00B43299" w14:paraId="3235ADC9" w14:textId="77777777" w:rsidTr="00396578">
        <w:trPr>
          <w:trHeight w:val="727"/>
        </w:trPr>
        <w:tc>
          <w:tcPr>
            <w:tcW w:w="567" w:type="dxa"/>
          </w:tcPr>
          <w:p w14:paraId="132B72D9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34</w:t>
            </w:r>
          </w:p>
        </w:tc>
        <w:tc>
          <w:tcPr>
            <w:tcW w:w="9357" w:type="dxa"/>
          </w:tcPr>
          <w:p w14:paraId="04E1A53C" w14:textId="3DAD285E" w:rsidR="00B43299" w:rsidRPr="00C87876" w:rsidRDefault="00186744" w:rsidP="00396578">
            <w:pPr>
              <w:pStyle w:val="TableParagraph"/>
              <w:tabs>
                <w:tab w:val="left" w:pos="8715"/>
              </w:tabs>
              <w:spacing w:line="352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外幣選擇權之限額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?</w:t>
            </w:r>
            <w:r w:rsidR="00B43299">
              <w:rPr>
                <w:sz w:val="21"/>
                <w:lang w:eastAsia="zh-TW"/>
              </w:rPr>
              <w:t xml:space="preserve"> 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70035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無本金交割新台幣遠匯及新台幣選擇權二者合計之部位限額，不得逾總部位限額二分之一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70035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無本金交割新台幣遠匯及新台幣選擇權二者合計之部位限額，不得逾總部位限額三分之一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70035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無本金交割新台幣遠匯及新台幣選擇權二者合計之部位限額，不得逾總部位限額四分之一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70035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無本金交割新台幣遠匯及新台幣選擇權二者合計之部位限額，不得逾總部位限額五分之一</w:t>
            </w:r>
          </w:p>
        </w:tc>
        <w:tc>
          <w:tcPr>
            <w:tcW w:w="593" w:type="dxa"/>
          </w:tcPr>
          <w:p w14:paraId="5F8CA8D4" w14:textId="12D60AF4" w:rsidR="00B43299" w:rsidRDefault="00186744" w:rsidP="00396578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4</w:t>
            </w:r>
          </w:p>
        </w:tc>
      </w:tr>
      <w:tr w:rsidR="00B43299" w14:paraId="289B4E2C" w14:textId="77777777" w:rsidTr="00396578">
        <w:trPr>
          <w:trHeight w:val="727"/>
        </w:trPr>
        <w:tc>
          <w:tcPr>
            <w:tcW w:w="567" w:type="dxa"/>
          </w:tcPr>
          <w:p w14:paraId="5058D53B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35</w:t>
            </w:r>
          </w:p>
        </w:tc>
        <w:tc>
          <w:tcPr>
            <w:tcW w:w="9357" w:type="dxa"/>
          </w:tcPr>
          <w:p w14:paraId="7AF910C5" w14:textId="3ECDFFB2" w:rsidR="00B43299" w:rsidRPr="00700359" w:rsidRDefault="008051BF" w:rsidP="00396578">
            <w:pPr>
              <w:pStyle w:val="TableParagraph"/>
              <w:tabs>
                <w:tab w:val="left" w:pos="8715"/>
              </w:tabs>
              <w:spacing w:line="352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選擇權交易之權利金由下列何者支付？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33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70035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買方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70035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賣方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70035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視買權或賣權而定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70035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交易獲利之一方</w:t>
            </w:r>
          </w:p>
        </w:tc>
        <w:tc>
          <w:tcPr>
            <w:tcW w:w="593" w:type="dxa"/>
          </w:tcPr>
          <w:p w14:paraId="40055BB0" w14:textId="6D1B06C7" w:rsidR="00B43299" w:rsidRDefault="008051BF" w:rsidP="00396578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1</w:t>
            </w:r>
          </w:p>
        </w:tc>
      </w:tr>
      <w:tr w:rsidR="00B43299" w14:paraId="42FF5CBB" w14:textId="77777777" w:rsidTr="00396578">
        <w:trPr>
          <w:trHeight w:val="727"/>
        </w:trPr>
        <w:tc>
          <w:tcPr>
            <w:tcW w:w="567" w:type="dxa"/>
          </w:tcPr>
          <w:p w14:paraId="6912C2A7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36</w:t>
            </w:r>
          </w:p>
        </w:tc>
        <w:tc>
          <w:tcPr>
            <w:tcW w:w="9357" w:type="dxa"/>
          </w:tcPr>
          <w:p w14:paraId="0FC26440" w14:textId="4321D806" w:rsidR="00B43299" w:rsidRPr="00700359" w:rsidRDefault="008051BF" w:rsidP="00396578">
            <w:pPr>
              <w:pStyle w:val="TableParagraph"/>
              <w:tabs>
                <w:tab w:val="left" w:pos="8715"/>
              </w:tabs>
              <w:spacing w:line="352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下列何項業務承作對象以國內指定銀行及其本身之海外分行、總（母）行及其分行為限？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33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 w:rsidR="00B43299">
              <w:rPr>
                <w:sz w:val="21"/>
                <w:lang w:eastAsia="zh-TW"/>
              </w:rPr>
              <w:t xml:space="preserve"> 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新臺幣匯率選擇權業務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無本金交割新臺幣遠期外匯業務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(NDF)</w:t>
            </w:r>
            <w:r>
              <w:rPr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70035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新臺幣與外幣間換匯換利交易業務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(CCS)</w:t>
            </w:r>
            <w:r>
              <w:rPr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70035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新臺幣與外幣間換匯交易業務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(FX SWAP)</w:t>
            </w:r>
          </w:p>
        </w:tc>
        <w:tc>
          <w:tcPr>
            <w:tcW w:w="593" w:type="dxa"/>
          </w:tcPr>
          <w:p w14:paraId="2F8CAE16" w14:textId="2EBAE89A" w:rsidR="00B43299" w:rsidRDefault="008051BF" w:rsidP="00396578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2</w:t>
            </w:r>
          </w:p>
        </w:tc>
      </w:tr>
      <w:tr w:rsidR="00B43299" w14:paraId="3D6B1305" w14:textId="77777777" w:rsidTr="00396578">
        <w:trPr>
          <w:trHeight w:val="727"/>
        </w:trPr>
        <w:tc>
          <w:tcPr>
            <w:tcW w:w="567" w:type="dxa"/>
          </w:tcPr>
          <w:p w14:paraId="59954A7F" w14:textId="77777777" w:rsidR="00B43299" w:rsidRDefault="00B43299" w:rsidP="00396578">
            <w:pPr>
              <w:pStyle w:val="TableParagraph"/>
              <w:spacing w:before="159"/>
              <w:ind w:left="49" w:right="44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37</w:t>
            </w:r>
          </w:p>
        </w:tc>
        <w:tc>
          <w:tcPr>
            <w:tcW w:w="9357" w:type="dxa"/>
          </w:tcPr>
          <w:p w14:paraId="4F57DECD" w14:textId="5C02072F" w:rsidR="00B43299" w:rsidRPr="00700359" w:rsidRDefault="008051BF" w:rsidP="00396578">
            <w:pPr>
              <w:pStyle w:val="TableParagraph"/>
              <w:tabs>
                <w:tab w:val="left" w:pos="8715"/>
              </w:tabs>
              <w:spacing w:line="352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外匯指定銀行欲辦理下列何種外匯業務，應向中央銀行申請許可？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33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70035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設置外幣提款機業務</w:t>
            </w:r>
            <w:r w:rsidR="00B43299">
              <w:rPr>
                <w:sz w:val="21"/>
                <w:lang w:eastAsia="zh-TW"/>
              </w:rPr>
              <w:t xml:space="preserve"> 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70035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辦理換匯交易時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70035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於非共同營業時間辦理外匯業務</w:t>
            </w:r>
            <w:r w:rsidR="00B43299">
              <w:rPr>
                <w:sz w:val="21"/>
                <w:lang w:eastAsia="zh-TW"/>
              </w:rPr>
              <w:t xml:space="preserve"> 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70035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以國內自設外匯作業中心處理相關外匯作業時</w:t>
            </w:r>
          </w:p>
        </w:tc>
        <w:tc>
          <w:tcPr>
            <w:tcW w:w="593" w:type="dxa"/>
          </w:tcPr>
          <w:p w14:paraId="790B3131" w14:textId="4781F614" w:rsidR="00B43299" w:rsidRDefault="008051BF" w:rsidP="00396578">
            <w:pPr>
              <w:pStyle w:val="TableParagraph"/>
              <w:spacing w:before="159"/>
              <w:ind w:left="3"/>
              <w:jc w:val="center"/>
              <w:rPr>
                <w:sz w:val="21"/>
                <w:lang w:eastAsia="zh-TW"/>
              </w:rPr>
            </w:pPr>
            <w:r>
              <w:rPr>
                <w:sz w:val="21"/>
                <w:lang w:eastAsia="zh-TW"/>
              </w:rPr>
              <w:t>1</w:t>
            </w:r>
          </w:p>
        </w:tc>
      </w:tr>
    </w:tbl>
    <w:p w14:paraId="4FC58826" w14:textId="77777777" w:rsidR="00B43299" w:rsidRDefault="00B43299" w:rsidP="00B43299">
      <w:pPr>
        <w:jc w:val="center"/>
        <w:rPr>
          <w:sz w:val="21"/>
          <w:lang w:eastAsia="zh-TW"/>
        </w:rPr>
        <w:sectPr w:rsidR="00B43299">
          <w:pgSz w:w="11910" w:h="16840"/>
          <w:pgMar w:top="560" w:right="280" w:bottom="1560" w:left="280" w:header="0" w:footer="1362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7"/>
        <w:gridCol w:w="593"/>
      </w:tblGrid>
      <w:tr w:rsidR="00B43299" w14:paraId="3A082840" w14:textId="77777777" w:rsidTr="00396578">
        <w:trPr>
          <w:trHeight w:val="1089"/>
        </w:trPr>
        <w:tc>
          <w:tcPr>
            <w:tcW w:w="567" w:type="dxa"/>
          </w:tcPr>
          <w:p w14:paraId="6804F1C5" w14:textId="77777777" w:rsidR="00B43299" w:rsidRDefault="00B43299" w:rsidP="00396578">
            <w:pPr>
              <w:pStyle w:val="TableParagraph"/>
              <w:spacing w:before="6"/>
              <w:ind w:left="0"/>
              <w:rPr>
                <w:rFonts w:ascii="Times New Roman"/>
                <w:sz w:val="29"/>
                <w:lang w:eastAsia="zh-TW"/>
              </w:rPr>
            </w:pPr>
          </w:p>
          <w:p w14:paraId="20BBF5D9" w14:textId="77777777" w:rsidR="00B43299" w:rsidRDefault="00B43299" w:rsidP="00396578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9357" w:type="dxa"/>
          </w:tcPr>
          <w:p w14:paraId="65D35328" w14:textId="0FAAF7A0" w:rsidR="00B43299" w:rsidRDefault="008051BF" w:rsidP="00396578">
            <w:pPr>
              <w:pStyle w:val="TableParagraph"/>
              <w:spacing w:line="350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指定銀行經許可於營業時間以外辦理外匯業務，每筆結匯金額限多少金額以內？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27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spacing w:val="-3"/>
                <w:sz w:val="21"/>
                <w:lang w:eastAsia="zh-TW"/>
              </w:rPr>
              <w:t xml:space="preserve"> </w:t>
            </w:r>
            <w:r w:rsidR="00B43299">
              <w:rPr>
                <w:spacing w:val="-3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3"/>
                <w:sz w:val="21"/>
                <w:lang w:eastAsia="zh-TW"/>
              </w:rPr>
              <w:t>1</w:t>
            </w:r>
            <w:r w:rsidR="00B43299" w:rsidRPr="00700359">
              <w:rPr>
                <w:spacing w:val="-3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美金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50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萬元或等值外幣</w:t>
            </w:r>
            <w:r w:rsidR="00B43299">
              <w:rPr>
                <w:spacing w:val="-3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3"/>
                <w:sz w:val="21"/>
                <w:lang w:eastAsia="zh-TW"/>
              </w:rPr>
              <w:t>2</w:t>
            </w:r>
            <w:r w:rsidR="00B43299" w:rsidRPr="00700359">
              <w:rPr>
                <w:spacing w:val="-3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新台幣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100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萬元或等值外幣</w:t>
            </w:r>
            <w:r w:rsidR="00B43299">
              <w:rPr>
                <w:spacing w:val="-3"/>
                <w:sz w:val="21"/>
                <w:lang w:eastAsia="zh-TW"/>
              </w:rPr>
              <w:t>(</w:t>
            </w:r>
            <w:r w:rsidR="00B43299">
              <w:rPr>
                <w:rFonts w:hint="eastAsia"/>
                <w:spacing w:val="-3"/>
                <w:sz w:val="21"/>
                <w:lang w:eastAsia="zh-TW"/>
              </w:rPr>
              <w:t>3</w:t>
            </w:r>
            <w:r w:rsidR="00B43299" w:rsidRPr="00700359">
              <w:rPr>
                <w:spacing w:val="-3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新台幣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50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萬元或等值外幣</w:t>
            </w:r>
            <w:r w:rsidR="00B43299">
              <w:rPr>
                <w:spacing w:val="-3"/>
                <w:sz w:val="21"/>
                <w:lang w:eastAsia="zh-TW"/>
              </w:rPr>
              <w:t xml:space="preserve"> (</w:t>
            </w:r>
            <w:r w:rsidR="00B43299">
              <w:rPr>
                <w:rFonts w:hint="eastAsia"/>
                <w:spacing w:val="-3"/>
                <w:sz w:val="21"/>
                <w:lang w:eastAsia="zh-TW"/>
              </w:rPr>
              <w:t>4</w:t>
            </w:r>
            <w:r w:rsidR="00B43299" w:rsidRPr="00700359">
              <w:rPr>
                <w:spacing w:val="-3"/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美金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100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萬元或等值外幣</w:t>
            </w:r>
          </w:p>
        </w:tc>
        <w:tc>
          <w:tcPr>
            <w:tcW w:w="593" w:type="dxa"/>
          </w:tcPr>
          <w:p w14:paraId="772A10C0" w14:textId="77777777" w:rsidR="00B43299" w:rsidRDefault="00B43299" w:rsidP="00396578">
            <w:pPr>
              <w:pStyle w:val="TableParagraph"/>
              <w:spacing w:before="6"/>
              <w:ind w:left="0"/>
              <w:rPr>
                <w:rFonts w:ascii="Times New Roman"/>
                <w:sz w:val="29"/>
                <w:lang w:eastAsia="zh-TW"/>
              </w:rPr>
            </w:pPr>
          </w:p>
          <w:p w14:paraId="23D1932F" w14:textId="14A25959" w:rsidR="00B43299" w:rsidRDefault="008051BF" w:rsidP="00396578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B43299" w14:paraId="224D4894" w14:textId="77777777" w:rsidTr="00396578">
        <w:trPr>
          <w:trHeight w:val="1213"/>
        </w:trPr>
        <w:tc>
          <w:tcPr>
            <w:tcW w:w="567" w:type="dxa"/>
          </w:tcPr>
          <w:p w14:paraId="65FCDF3D" w14:textId="77777777" w:rsidR="00B43299" w:rsidRDefault="00B43299" w:rsidP="0039657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310D05A5" w14:textId="77777777" w:rsidR="00B43299" w:rsidRDefault="00B43299" w:rsidP="00396578">
            <w:pPr>
              <w:pStyle w:val="TableParagraph"/>
              <w:spacing w:before="200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9357" w:type="dxa"/>
          </w:tcPr>
          <w:p w14:paraId="5B9E66A7" w14:textId="66B8183C" w:rsidR="00B43299" w:rsidRDefault="008051BF" w:rsidP="00396578">
            <w:pPr>
              <w:pStyle w:val="TableParagraph"/>
              <w:spacing w:line="349" w:lineRule="exact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依「外幣收兌處設置及管理辦法」規定，下列敘述何者錯誤？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27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700359">
              <w:rPr>
                <w:sz w:val="21"/>
                <w:lang w:eastAsia="zh-TW"/>
              </w:rPr>
              <w:t>)</w:t>
            </w:r>
            <w:r w:rsidR="00583D97">
              <w:rPr>
                <w:rFonts w:ascii="Helvetica" w:hAnsi="Helvetica" w:cs="Helvetica"/>
                <w:color w:val="555555"/>
                <w:shd w:val="clear" w:color="auto" w:fill="F4F7F8"/>
              </w:rPr>
              <w:t>外幣收兌處設置之核准、廢止核准及必要時之業務查核等管理事項，由中央銀行委託臺灣銀行辦理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700359">
              <w:rPr>
                <w:sz w:val="21"/>
                <w:lang w:eastAsia="zh-TW"/>
              </w:rPr>
              <w:t>)</w:t>
            </w:r>
            <w:r w:rsidR="00583D97">
              <w:rPr>
                <w:rFonts w:ascii="Helvetica" w:hAnsi="Helvetica" w:cs="Helvetica"/>
                <w:color w:val="555555"/>
                <w:shd w:val="clear" w:color="auto" w:fill="F4F7F8"/>
              </w:rPr>
              <w:t>外幣收兌處收兌外幣之匯率應於營業場所揭示</w:t>
            </w:r>
            <w:r w:rsidR="00B43299" w:rsidRPr="00F53C3A">
              <w:rPr>
                <w:b/>
                <w:bCs/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700359">
              <w:rPr>
                <w:sz w:val="21"/>
                <w:lang w:eastAsia="zh-TW"/>
              </w:rPr>
              <w:t>)</w:t>
            </w:r>
            <w:r w:rsidR="00583D97">
              <w:rPr>
                <w:rFonts w:ascii="Helvetica" w:hAnsi="Helvetica" w:cs="Helvetica"/>
                <w:color w:val="555555"/>
                <w:shd w:val="clear" w:color="auto" w:fill="F4F7F8"/>
              </w:rPr>
              <w:t>外幣收兌處辦理收兌業務，相關之兌換水單應至少保存十年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700359">
              <w:rPr>
                <w:sz w:val="21"/>
                <w:lang w:eastAsia="zh-TW"/>
              </w:rPr>
              <w:t>)</w:t>
            </w:r>
            <w:r w:rsidR="00583D97">
              <w:rPr>
                <w:rFonts w:ascii="Helvetica" w:hAnsi="Helvetica" w:cs="Helvetica"/>
                <w:color w:val="555555"/>
                <w:shd w:val="clear" w:color="auto" w:fill="F4F7F8"/>
              </w:rPr>
              <w:t>外幣收兌處辦理外幣收兌業務，每筆收兌金額以等值一萬美元為限</w:t>
            </w:r>
          </w:p>
        </w:tc>
        <w:tc>
          <w:tcPr>
            <w:tcW w:w="593" w:type="dxa"/>
          </w:tcPr>
          <w:p w14:paraId="66D4FB18" w14:textId="77777777" w:rsidR="00B43299" w:rsidRDefault="00B43299" w:rsidP="00396578">
            <w:pPr>
              <w:pStyle w:val="TableParagraph"/>
              <w:ind w:left="0"/>
              <w:rPr>
                <w:rFonts w:ascii="Times New Roman"/>
                <w:sz w:val="28"/>
                <w:lang w:eastAsia="zh-TW"/>
              </w:rPr>
            </w:pPr>
          </w:p>
          <w:p w14:paraId="13B1AD2D" w14:textId="45F00869" w:rsidR="00B43299" w:rsidRDefault="00583D97" w:rsidP="00396578">
            <w:pPr>
              <w:pStyle w:val="TableParagraph"/>
              <w:spacing w:before="200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B43299" w14:paraId="695B4237" w14:textId="77777777" w:rsidTr="00396578">
        <w:trPr>
          <w:trHeight w:val="1089"/>
        </w:trPr>
        <w:tc>
          <w:tcPr>
            <w:tcW w:w="567" w:type="dxa"/>
          </w:tcPr>
          <w:p w14:paraId="09E61635" w14:textId="77777777" w:rsidR="00B43299" w:rsidRDefault="00B43299" w:rsidP="00396578"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 w14:paraId="5AEEAAD2" w14:textId="77777777" w:rsidR="00B43299" w:rsidRDefault="00B43299" w:rsidP="00396578">
            <w:pPr>
              <w:pStyle w:val="TableParagraph"/>
              <w:ind w:left="49" w:right="44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357" w:type="dxa"/>
          </w:tcPr>
          <w:p w14:paraId="111C23A4" w14:textId="69001FCC" w:rsidR="00B43299" w:rsidRDefault="00583D97" w:rsidP="00396578">
            <w:pPr>
              <w:pStyle w:val="TableParagraph"/>
              <w:spacing w:line="225" w:lineRule="auto"/>
              <w:ind w:right="86"/>
              <w:rPr>
                <w:sz w:val="21"/>
                <w:lang w:eastAsia="zh-TW"/>
              </w:rPr>
            </w:pP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國人投資海外基金，該基金每年配發之利息匯入時，其匯入款性質應為下列何項？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(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第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27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屆國外匯兌試題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)</w:t>
            </w:r>
            <w:r>
              <w:rPr>
                <w:sz w:val="21"/>
                <w:lang w:eastAsia="zh-TW"/>
              </w:rPr>
              <w:t xml:space="preserve"> 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1</w:t>
            </w:r>
            <w:r w:rsidR="00B43299" w:rsidRPr="0070035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447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金融衍生商品所得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2</w:t>
            </w:r>
            <w:r w:rsidR="00B43299" w:rsidRPr="0070035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449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其他投資所得</w:t>
            </w:r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3</w:t>
            </w:r>
            <w:r w:rsidR="00B43299" w:rsidRPr="0070035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441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股本投資所得</w:t>
            </w:r>
            <w:bookmarkStart w:id="0" w:name="_GoBack"/>
            <w:bookmarkEnd w:id="0"/>
            <w:r w:rsidR="00B43299">
              <w:rPr>
                <w:sz w:val="21"/>
                <w:lang w:eastAsia="zh-TW"/>
              </w:rPr>
              <w:t>(</w:t>
            </w:r>
            <w:r w:rsidR="00B43299">
              <w:rPr>
                <w:rFonts w:hint="eastAsia"/>
                <w:sz w:val="21"/>
                <w:lang w:eastAsia="zh-TW"/>
              </w:rPr>
              <w:t>4</w:t>
            </w:r>
            <w:r w:rsidR="00B43299" w:rsidRPr="00700359">
              <w:rPr>
                <w:sz w:val="21"/>
                <w:lang w:eastAsia="zh-TW"/>
              </w:rPr>
              <w:t>)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 xml:space="preserve">442 </w:t>
            </w:r>
            <w:r>
              <w:rPr>
                <w:rFonts w:ascii="Helvetica" w:hAnsi="Helvetica" w:cs="Helvetica"/>
                <w:color w:val="555555"/>
                <w:shd w:val="clear" w:color="auto" w:fill="F4F7F8"/>
              </w:rPr>
              <w:t>股權證券所得</w:t>
            </w:r>
          </w:p>
        </w:tc>
        <w:tc>
          <w:tcPr>
            <w:tcW w:w="593" w:type="dxa"/>
          </w:tcPr>
          <w:p w14:paraId="7F900CE3" w14:textId="77777777" w:rsidR="00B43299" w:rsidRDefault="00B43299" w:rsidP="00396578">
            <w:pPr>
              <w:pStyle w:val="TableParagraph"/>
              <w:spacing w:before="8"/>
              <w:ind w:left="0"/>
              <w:rPr>
                <w:rFonts w:ascii="Times New Roman"/>
                <w:sz w:val="29"/>
                <w:lang w:eastAsia="zh-TW"/>
              </w:rPr>
            </w:pPr>
          </w:p>
          <w:p w14:paraId="544B5726" w14:textId="397EFB71" w:rsidR="00B43299" w:rsidRDefault="00583D97" w:rsidP="00396578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</w:tbl>
    <w:p w14:paraId="6D082A05" w14:textId="77777777" w:rsidR="00B43299" w:rsidRDefault="00B43299" w:rsidP="00B43299">
      <w:pPr>
        <w:rPr>
          <w:sz w:val="21"/>
        </w:rPr>
        <w:sectPr w:rsidR="00B43299">
          <w:pgSz w:w="11910" w:h="16840"/>
          <w:pgMar w:top="560" w:right="280" w:bottom="1560" w:left="280" w:header="0" w:footer="1362" w:gutter="0"/>
          <w:cols w:space="720"/>
        </w:sectPr>
      </w:pPr>
    </w:p>
    <w:p w14:paraId="6D40ED30" w14:textId="77777777" w:rsidR="00B43299" w:rsidRDefault="00B43299" w:rsidP="00B43299">
      <w:pPr>
        <w:rPr>
          <w:lang w:eastAsia="zh-TW"/>
        </w:rPr>
      </w:pPr>
    </w:p>
    <w:p w14:paraId="1BB63AFF" w14:textId="77777777" w:rsidR="00EB4EB7" w:rsidRDefault="0072106D"/>
    <w:sectPr w:rsidR="00EB4EB7">
      <w:pgSz w:w="11910" w:h="16840"/>
      <w:pgMar w:top="560" w:right="280" w:bottom="1560" w:left="280" w:header="0" w:footer="1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6B94E" w14:textId="77777777" w:rsidR="0072106D" w:rsidRDefault="0072106D" w:rsidP="00D50AE3">
      <w:r>
        <w:separator/>
      </w:r>
    </w:p>
  </w:endnote>
  <w:endnote w:type="continuationSeparator" w:id="0">
    <w:p w14:paraId="10361E88" w14:textId="77777777" w:rsidR="0072106D" w:rsidRDefault="0072106D" w:rsidP="00D5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F04A" w14:textId="77777777" w:rsidR="00D227AE" w:rsidRDefault="0072106D">
    <w:pPr>
      <w:pStyle w:val="a3"/>
      <w:spacing w:line="14" w:lineRule="auto"/>
      <w:ind w:left="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8EC43B" wp14:editId="440AC08F">
              <wp:simplePos x="0" y="0"/>
              <wp:positionH relativeFrom="page">
                <wp:posOffset>4994275</wp:posOffset>
              </wp:positionH>
              <wp:positionV relativeFrom="page">
                <wp:posOffset>9636760</wp:posOffset>
              </wp:positionV>
              <wp:extent cx="2310130" cy="413385"/>
              <wp:effectExtent l="3175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013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82F83" w14:textId="77777777" w:rsidR="00D227AE" w:rsidRDefault="0072106D">
                          <w:pPr>
                            <w:pStyle w:val="a3"/>
                            <w:spacing w:line="325" w:lineRule="exact"/>
                            <w:ind w:left="1621"/>
                            <w:rPr>
                              <w:lang w:eastAsia="zh-TW"/>
                            </w:rPr>
                          </w:pPr>
                          <w:r>
                            <w:rPr>
                              <w:w w:val="95"/>
                              <w:lang w:eastAsia="zh-TW"/>
                            </w:rPr>
                            <w:t>僅供內部教育訓練使用</w:t>
                          </w:r>
                        </w:p>
                        <w:p w14:paraId="76A3B623" w14:textId="77777777" w:rsidR="00D227AE" w:rsidRDefault="0072106D">
                          <w:pPr>
                            <w:pStyle w:val="a3"/>
                            <w:spacing w:line="326" w:lineRule="exact"/>
                            <w:rPr>
                              <w:lang w:eastAsia="zh-TW"/>
                            </w:rPr>
                          </w:pPr>
                          <w:r>
                            <w:rPr>
                              <w:w w:val="95"/>
                              <w:lang w:eastAsia="zh-TW"/>
                            </w:rPr>
                            <w:t>請勿重製或置於私人網路、社群、媒體！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EC4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3.25pt;margin-top:758.8pt;width:181.9pt;height:3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" filled="f" stroked="f">
              <v:textbox inset="0,0,0,0">
                <w:txbxContent>
                  <w:p w14:paraId="6ED82F83" w14:textId="77777777" w:rsidR="00D227AE" w:rsidRDefault="0072106D">
                    <w:pPr>
                      <w:pStyle w:val="a3"/>
                      <w:spacing w:line="325" w:lineRule="exact"/>
                      <w:ind w:left="1621"/>
                      <w:rPr>
                        <w:lang w:eastAsia="zh-TW"/>
                      </w:rPr>
                    </w:pPr>
                    <w:r>
                      <w:rPr>
                        <w:w w:val="95"/>
                        <w:lang w:eastAsia="zh-TW"/>
                      </w:rPr>
                      <w:t>僅供內部教育訓練使用</w:t>
                    </w:r>
                  </w:p>
                  <w:p w14:paraId="76A3B623" w14:textId="77777777" w:rsidR="00D227AE" w:rsidRDefault="0072106D">
                    <w:pPr>
                      <w:pStyle w:val="a3"/>
                      <w:spacing w:line="326" w:lineRule="exact"/>
                      <w:rPr>
                        <w:lang w:eastAsia="zh-TW"/>
                      </w:rPr>
                    </w:pPr>
                    <w:r>
                      <w:rPr>
                        <w:w w:val="95"/>
                        <w:lang w:eastAsia="zh-TW"/>
                      </w:rPr>
                      <w:t>請勿重製或置於私人網路、社群、媒體！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89FF78" wp14:editId="281A9069">
              <wp:simplePos x="0" y="0"/>
              <wp:positionH relativeFrom="page">
                <wp:posOffset>258445</wp:posOffset>
              </wp:positionH>
              <wp:positionV relativeFrom="page">
                <wp:posOffset>9671685</wp:posOffset>
              </wp:positionV>
              <wp:extent cx="988695" cy="158750"/>
              <wp:effectExtent l="1270" t="381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2B13C" w14:textId="77777777" w:rsidR="00D227AE" w:rsidRDefault="0072106D">
                          <w:pPr>
                            <w:pStyle w:val="a3"/>
                            <w:spacing w:line="249" w:lineRule="exact"/>
                            <w:rPr>
                              <w:rFonts w:ascii="新細明體" w:eastAsia="新細明體"/>
                            </w:rPr>
                          </w:pPr>
                          <w:r>
                            <w:rPr>
                              <w:rFonts w:ascii="Calibri" w:eastAsia="Calibri"/>
                            </w:rPr>
                            <w:t xml:space="preserve">10709-1 </w:t>
                          </w:r>
                          <w:r>
                            <w:rPr>
                              <w:rFonts w:ascii="新細明體" w:eastAsia="新細明體" w:hint="eastAsia"/>
                            </w:rPr>
                            <w:t>精選題庫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9FF78" id="Text Box 2" o:spid="_x0000_s1027" type="#_x0000_t202" style="position:absolute;margin-left:20.35pt;margin-top:761.55pt;width:77.85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" filled="f" stroked="f">
              <v:textbox inset="0,0,0,0">
                <w:txbxContent>
                  <w:p w14:paraId="7442B13C" w14:textId="77777777" w:rsidR="00D227AE" w:rsidRDefault="0072106D">
                    <w:pPr>
                      <w:pStyle w:val="a3"/>
                      <w:spacing w:line="249" w:lineRule="exact"/>
                      <w:rPr>
                        <w:rFonts w:ascii="新細明體" w:eastAsia="新細明體"/>
                      </w:rPr>
                    </w:pPr>
                    <w:r>
                      <w:rPr>
                        <w:rFonts w:ascii="Calibri" w:eastAsia="Calibri"/>
                      </w:rPr>
                      <w:t xml:space="preserve">10709-1 </w:t>
                    </w:r>
                    <w:r>
                      <w:rPr>
                        <w:rFonts w:ascii="新細明體" w:eastAsia="新細明體" w:hint="eastAsia"/>
                      </w:rPr>
                      <w:t>精選題庫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22E2B0" wp14:editId="3B5F4BE9">
              <wp:simplePos x="0" y="0"/>
              <wp:positionH relativeFrom="page">
                <wp:posOffset>3597910</wp:posOffset>
              </wp:positionH>
              <wp:positionV relativeFrom="page">
                <wp:posOffset>9672320</wp:posOffset>
              </wp:positionV>
              <wp:extent cx="358775" cy="16002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A7FB4" w14:textId="77777777" w:rsidR="00D227AE" w:rsidRDefault="0072106D">
                          <w:pPr>
                            <w:spacing w:line="235" w:lineRule="exact"/>
                            <w:ind w:left="4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  <w:sz w:val="21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2E2B0" id="Text Box 1" o:spid="_x0000_s1028" type="#_x0000_t202" style="position:absolute;margin-left:283.3pt;margin-top:761.6pt;width:28.25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" filled="f" stroked="f">
              <v:textbox inset="0,0,0,0">
                <w:txbxContent>
                  <w:p w14:paraId="497A7FB4" w14:textId="77777777" w:rsidR="00D227AE" w:rsidRDefault="0072106D">
                    <w:pPr>
                      <w:spacing w:line="235" w:lineRule="exact"/>
                      <w:ind w:left="40"/>
                      <w:rPr>
                        <w:rFonts w:ascii="Calibri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  <w:sz w:val="21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z w:val="20"/>
                      </w:rPr>
                      <w:t>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4F101" w14:textId="77777777" w:rsidR="0072106D" w:rsidRDefault="0072106D" w:rsidP="00D50AE3">
      <w:r>
        <w:separator/>
      </w:r>
    </w:p>
  </w:footnote>
  <w:footnote w:type="continuationSeparator" w:id="0">
    <w:p w14:paraId="7F38EF8A" w14:textId="77777777" w:rsidR="0072106D" w:rsidRDefault="0072106D" w:rsidP="00D50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AA"/>
    <w:rsid w:val="00011CAA"/>
    <w:rsid w:val="00100E9C"/>
    <w:rsid w:val="00186744"/>
    <w:rsid w:val="002D35A3"/>
    <w:rsid w:val="00464FF6"/>
    <w:rsid w:val="00576DE2"/>
    <w:rsid w:val="00583D97"/>
    <w:rsid w:val="00665ADD"/>
    <w:rsid w:val="0072106D"/>
    <w:rsid w:val="00803D11"/>
    <w:rsid w:val="008051BF"/>
    <w:rsid w:val="008E377F"/>
    <w:rsid w:val="00A2311D"/>
    <w:rsid w:val="00B43299"/>
    <w:rsid w:val="00D50AE3"/>
    <w:rsid w:val="00D9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7131"/>
  <w15:chartTrackingRefBased/>
  <w15:docId w15:val="{1377DE3E-28B2-4B15-A13F-D5746CC9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43299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299"/>
    <w:pPr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3299"/>
    <w:pPr>
      <w:ind w:left="20"/>
    </w:pPr>
    <w:rPr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B43299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B43299"/>
    <w:pPr>
      <w:ind w:left="25"/>
    </w:pPr>
  </w:style>
  <w:style w:type="character" w:styleId="a5">
    <w:name w:val="Strong"/>
    <w:basedOn w:val="a0"/>
    <w:uiPriority w:val="22"/>
    <w:qFormat/>
    <w:rsid w:val="00B43299"/>
    <w:rPr>
      <w:b/>
      <w:bCs/>
    </w:rPr>
  </w:style>
  <w:style w:type="paragraph" w:styleId="Web">
    <w:name w:val="Normal (Web)"/>
    <w:basedOn w:val="a"/>
    <w:uiPriority w:val="99"/>
    <w:unhideWhenUsed/>
    <w:rsid w:val="00B43299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6">
    <w:name w:val="header"/>
    <w:basedOn w:val="a"/>
    <w:link w:val="a7"/>
    <w:uiPriority w:val="99"/>
    <w:unhideWhenUsed/>
    <w:rsid w:val="00D50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0AE3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D50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0AE3"/>
    <w:rPr>
      <w:rFonts w:ascii="微軟正黑體" w:eastAsia="微軟正黑體" w:hAnsi="微軟正黑體" w:cs="微軟正黑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8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思丞 武</dc:creator>
  <cp:keywords/>
  <dc:description/>
  <cp:lastModifiedBy>思丞 武</cp:lastModifiedBy>
  <cp:revision>8</cp:revision>
  <dcterms:created xsi:type="dcterms:W3CDTF">2020-04-02T04:55:00Z</dcterms:created>
  <dcterms:modified xsi:type="dcterms:W3CDTF">2020-04-02T12:48:00Z</dcterms:modified>
</cp:coreProperties>
</file>